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56D014" w14:textId="77777777" w:rsidR="00792DF6" w:rsidRDefault="00E00C11">
      <w:pPr>
        <w:pStyle w:val="BodyText"/>
        <w:ind w:left="8279"/>
        <w:rPr>
          <w:rFonts w:ascii="Times New Roman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D586901" wp14:editId="03C130BF">
            <wp:simplePos x="0" y="0"/>
            <wp:positionH relativeFrom="page">
              <wp:posOffset>0</wp:posOffset>
            </wp:positionH>
            <wp:positionV relativeFrom="page">
              <wp:posOffset>10515458</wp:posOffset>
            </wp:positionV>
            <wp:extent cx="7562088" cy="17692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7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inline distT="0" distB="0" distL="0" distR="0" wp14:anchorId="2577B9A6" wp14:editId="7D19D9DC">
            <wp:extent cx="1205526" cy="33527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52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939D2" w14:textId="77777777" w:rsidR="00792DF6" w:rsidRDefault="00792DF6">
      <w:pPr>
        <w:pStyle w:val="BodyText"/>
        <w:spacing w:before="369"/>
        <w:rPr>
          <w:rFonts w:ascii="Times New Roman"/>
          <w:sz w:val="52"/>
        </w:rPr>
      </w:pPr>
    </w:p>
    <w:p w14:paraId="17AC3417" w14:textId="77777777" w:rsidR="00792DF6" w:rsidRDefault="00E00C11">
      <w:pPr>
        <w:pStyle w:val="Title"/>
        <w:numPr>
          <w:ilvl w:val="0"/>
          <w:numId w:val="5"/>
        </w:numPr>
        <w:tabs>
          <w:tab w:val="left" w:pos="1422"/>
        </w:tabs>
      </w:pPr>
      <w:bookmarkStart w:id="0" w:name="1_Introduction"/>
      <w:bookmarkEnd w:id="0"/>
      <w:r>
        <w:rPr>
          <w:color w:val="18314A"/>
          <w:spacing w:val="-2"/>
        </w:rPr>
        <w:t>Introduction</w:t>
      </w:r>
    </w:p>
    <w:p w14:paraId="44570CAE" w14:textId="77777777" w:rsidR="00792DF6" w:rsidRDefault="00E00C11">
      <w:pPr>
        <w:pStyle w:val="BodyText"/>
        <w:spacing w:before="476" w:line="360" w:lineRule="auto"/>
        <w:ind w:left="572" w:right="540"/>
      </w:pPr>
      <w:r>
        <w:rPr>
          <w:color w:val="585858"/>
        </w:rPr>
        <w:t>Marinus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Link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(the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project)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has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potential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impact environmental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social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values, and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detailed assessment of these potential impacts is required under Commonwealth and state legislation.</w:t>
      </w:r>
    </w:p>
    <w:p w14:paraId="5A8E3D23" w14:textId="77777777" w:rsidR="00792DF6" w:rsidRDefault="00E00C11">
      <w:pPr>
        <w:pStyle w:val="BodyText"/>
        <w:spacing w:before="121" w:line="360" w:lineRule="auto"/>
        <w:ind w:left="572" w:right="540"/>
      </w:pPr>
      <w:r>
        <w:rPr>
          <w:color w:val="585858"/>
        </w:rPr>
        <w:t>This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volume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environmental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impact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statement/environment effects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statement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(EIS/EES)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outlines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the assessment of the impacts of the project on the marine environment to address the Commonwealth and Victorian legislative requirements. This includes the assessment of matters of national environmental significance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(MNES)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Tasmanian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coastal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waters, as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well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Commonwealth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requirements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 xml:space="preserve">Tasmanian waters covered by the </w:t>
      </w:r>
      <w:r>
        <w:rPr>
          <w:i/>
          <w:color w:val="585858"/>
        </w:rPr>
        <w:t xml:space="preserve">Underwater Cultural Heritage Act 2018 </w:t>
      </w:r>
      <w:r>
        <w:rPr>
          <w:color w:val="585858"/>
        </w:rPr>
        <w:t>(Cwlth), such as shipwrecks. Tasmanian legislative requirements in respect of Tasmanian coastal waters are assessed in the separate EIS documentation prepared for the shore crossing.</w:t>
      </w:r>
    </w:p>
    <w:p w14:paraId="1DCC3DF6" w14:textId="77777777" w:rsidR="00792DF6" w:rsidRDefault="00E00C11">
      <w:pPr>
        <w:pStyle w:val="BodyText"/>
        <w:spacing w:before="119" w:line="360" w:lineRule="auto"/>
        <w:ind w:left="573" w:right="540"/>
      </w:pPr>
      <w:r>
        <w:rPr>
          <w:color w:val="585858"/>
        </w:rPr>
        <w:t>This chapter provides an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overview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of 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project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scope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marine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environment; a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summary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maritime stakeholder engagement activities and how feedback has been incorporated into the EIS/EES; and an overview of the structure of the EIS/EES and the matters addressed in Volume 3.</w:t>
      </w:r>
    </w:p>
    <w:p w14:paraId="3F71BC77" w14:textId="77777777" w:rsidR="00792DF6" w:rsidRDefault="00792DF6">
      <w:pPr>
        <w:pStyle w:val="BodyText"/>
      </w:pPr>
    </w:p>
    <w:p w14:paraId="0958009E" w14:textId="77777777" w:rsidR="00792DF6" w:rsidRDefault="00792DF6">
      <w:pPr>
        <w:pStyle w:val="BodyText"/>
        <w:spacing w:before="22"/>
      </w:pPr>
    </w:p>
    <w:p w14:paraId="101C69A5" w14:textId="77777777" w:rsidR="00792DF6" w:rsidRDefault="00E00C11">
      <w:pPr>
        <w:pStyle w:val="Heading1"/>
        <w:numPr>
          <w:ilvl w:val="1"/>
          <w:numId w:val="5"/>
        </w:numPr>
        <w:tabs>
          <w:tab w:val="left" w:pos="1420"/>
        </w:tabs>
        <w:ind w:left="1420" w:hanging="848"/>
        <w:jc w:val="left"/>
      </w:pPr>
      <w:bookmarkStart w:id="1" w:name="1.1_Marine_project_overview"/>
      <w:bookmarkEnd w:id="1"/>
      <w:r>
        <w:rPr>
          <w:color w:val="18314A"/>
        </w:rPr>
        <w:t>Marine</w:t>
      </w:r>
      <w:r>
        <w:rPr>
          <w:color w:val="18314A"/>
          <w:spacing w:val="-6"/>
        </w:rPr>
        <w:t xml:space="preserve"> </w:t>
      </w:r>
      <w:r>
        <w:rPr>
          <w:color w:val="18314A"/>
        </w:rPr>
        <w:t>project</w:t>
      </w:r>
      <w:r>
        <w:rPr>
          <w:color w:val="18314A"/>
          <w:spacing w:val="-3"/>
        </w:rPr>
        <w:t xml:space="preserve"> </w:t>
      </w:r>
      <w:r>
        <w:rPr>
          <w:color w:val="18314A"/>
          <w:spacing w:val="-2"/>
        </w:rPr>
        <w:t>overview</w:t>
      </w:r>
    </w:p>
    <w:p w14:paraId="2D0D93EB" w14:textId="77777777" w:rsidR="00792DF6" w:rsidRDefault="00E00C11">
      <w:pPr>
        <w:pStyle w:val="BodyText"/>
        <w:spacing w:before="359" w:line="360" w:lineRule="auto"/>
        <w:ind w:left="573" w:right="540" w:hanging="1"/>
      </w:pP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project is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proposed</w:t>
      </w:r>
      <w:r>
        <w:rPr>
          <w:color w:val="585858"/>
          <w:spacing w:val="-3"/>
        </w:rPr>
        <w:t xml:space="preserve"> </w:t>
      </w:r>
      <w:proofErr w:type="gramStart"/>
      <w:r>
        <w:rPr>
          <w:color w:val="585858"/>
        </w:rPr>
        <w:t>1500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megawatt</w:t>
      </w:r>
      <w:proofErr w:type="gramEnd"/>
      <w:r>
        <w:rPr>
          <w:color w:val="585858"/>
        </w:rPr>
        <w:t xml:space="preserve"> (MW)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high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voltage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direct current (HVDC)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electricity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interconnector between Heybridge in northwest Tasmania and the Latrobe Valley in Victoria.</w:t>
      </w:r>
    </w:p>
    <w:p w14:paraId="7CF061F4" w14:textId="77777777" w:rsidR="00792DF6" w:rsidRDefault="00E00C11">
      <w:pPr>
        <w:pStyle w:val="BodyText"/>
        <w:spacing w:before="121" w:line="360" w:lineRule="auto"/>
        <w:ind w:left="573" w:right="540" w:hanging="1"/>
      </w:pPr>
      <w:r>
        <w:rPr>
          <w:color w:val="585858"/>
        </w:rPr>
        <w:t xml:space="preserve">Approximately 255 </w:t>
      </w:r>
      <w:proofErr w:type="spellStart"/>
      <w:r>
        <w:rPr>
          <w:color w:val="585858"/>
        </w:rPr>
        <w:t>kilometres</w:t>
      </w:r>
      <w:proofErr w:type="spellEnd"/>
      <w:r>
        <w:rPr>
          <w:color w:val="585858"/>
        </w:rPr>
        <w:t xml:space="preserve"> (km) of subsea HVDC cable will be bundled together and laid across Bass Strait </w:t>
      </w:r>
      <w:hyperlink w:anchor="_bookmark0" w:history="1">
        <w:r>
          <w:rPr>
            <w:color w:val="585858"/>
          </w:rPr>
          <w:t>(Figure</w:t>
        </w:r>
        <w:r>
          <w:rPr>
            <w:color w:val="585858"/>
            <w:spacing w:val="-3"/>
          </w:rPr>
          <w:t xml:space="preserve"> </w:t>
        </w:r>
        <w:r>
          <w:rPr>
            <w:color w:val="585858"/>
          </w:rPr>
          <w:t>3-01</w:t>
        </w:r>
      </w:hyperlink>
      <w:r>
        <w:rPr>
          <w:color w:val="585858"/>
        </w:rPr>
        <w:t>).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Further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detail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on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construction,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operation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decommissioning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 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subsea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cable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is provided in Volume 1, Chapter 6 – Project description. The cable bundles for each circuit will transition from approximately 300 m apart at the horizontal directional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 xml:space="preserve">drilling (HDD) (offshore) exit to 2 km apart in offshore </w:t>
      </w:r>
      <w:r>
        <w:rPr>
          <w:color w:val="585858"/>
          <w:spacing w:val="-2"/>
        </w:rPr>
        <w:t>waters.</w:t>
      </w:r>
    </w:p>
    <w:p w14:paraId="2CEAC7B3" w14:textId="77777777" w:rsidR="00792DF6" w:rsidRDefault="00E00C11">
      <w:pPr>
        <w:pStyle w:val="BodyText"/>
        <w:spacing w:before="118"/>
        <w:ind w:left="573"/>
      </w:pPr>
      <w:r>
        <w:rPr>
          <w:color w:val="585858"/>
        </w:rPr>
        <w:t>The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marine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survey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areas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are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shown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4"/>
        </w:rPr>
        <w:t xml:space="preserve"> </w:t>
      </w:r>
      <w:hyperlink w:anchor="_bookmark1" w:history="1">
        <w:r>
          <w:rPr>
            <w:color w:val="585858"/>
          </w:rPr>
          <w:t>Figure</w:t>
        </w:r>
        <w:r>
          <w:rPr>
            <w:color w:val="585858"/>
            <w:spacing w:val="-6"/>
          </w:rPr>
          <w:t xml:space="preserve"> </w:t>
        </w:r>
        <w:r>
          <w:rPr>
            <w:color w:val="585858"/>
          </w:rPr>
          <w:t>3-02</w:t>
        </w:r>
      </w:hyperlink>
      <w:r>
        <w:rPr>
          <w:color w:val="585858"/>
        </w:rPr>
        <w:t>,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4"/>
        </w:rPr>
        <w:t xml:space="preserve"> </w:t>
      </w:r>
      <w:r>
        <w:rPr>
          <w:color w:val="585858"/>
          <w:spacing w:val="-2"/>
        </w:rPr>
        <w:t>include:</w:t>
      </w:r>
    </w:p>
    <w:p w14:paraId="45FBF3D2" w14:textId="77777777" w:rsidR="00792DF6" w:rsidRDefault="00792DF6">
      <w:pPr>
        <w:pStyle w:val="BodyText"/>
        <w:spacing w:before="6"/>
      </w:pPr>
    </w:p>
    <w:p w14:paraId="6DC5984D" w14:textId="77777777" w:rsidR="00792DF6" w:rsidRDefault="00E00C11">
      <w:pPr>
        <w:pStyle w:val="BodyText"/>
        <w:ind w:left="572"/>
      </w:pPr>
      <w:r>
        <w:rPr>
          <w:noProof/>
        </w:rPr>
        <w:drawing>
          <wp:inline distT="0" distB="0" distL="0" distR="0" wp14:anchorId="63C7D4D7" wp14:editId="043D2921">
            <wp:extent cx="106679" cy="106679"/>
            <wp:effectExtent l="0" t="0" r="0" b="0"/>
            <wp:docPr id="3" name="Image 3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*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</w:rPr>
        <w:t xml:space="preserve">  </w:t>
      </w:r>
      <w:r>
        <w:rPr>
          <w:color w:val="5F5F5F"/>
        </w:rPr>
        <w:t>A 200 m wide corridor for each cable bundle in Commonwealth waters.</w:t>
      </w:r>
    </w:p>
    <w:p w14:paraId="5070BA15" w14:textId="77777777" w:rsidR="00792DF6" w:rsidRDefault="00792DF6">
      <w:pPr>
        <w:pStyle w:val="BodyText"/>
        <w:spacing w:before="5"/>
      </w:pPr>
    </w:p>
    <w:p w14:paraId="0F9F9811" w14:textId="77777777" w:rsidR="00792DF6" w:rsidRDefault="00E00C11">
      <w:pPr>
        <w:pStyle w:val="BodyText"/>
        <w:ind w:left="572"/>
      </w:pPr>
      <w:r>
        <w:rPr>
          <w:noProof/>
        </w:rPr>
        <w:drawing>
          <wp:inline distT="0" distB="0" distL="0" distR="0" wp14:anchorId="395F957B" wp14:editId="22F655E5">
            <wp:extent cx="106679" cy="106679"/>
            <wp:effectExtent l="0" t="0" r="0" b="0"/>
            <wp:docPr id="4" name="Image 4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*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</w:rPr>
        <w:t xml:space="preserve">  </w:t>
      </w:r>
      <w:r>
        <w:rPr>
          <w:color w:val="5F5F5F"/>
        </w:rPr>
        <w:t>Approximately 1 km wide for the Tasmanian shore crossing.</w:t>
      </w:r>
    </w:p>
    <w:p w14:paraId="78996EE2" w14:textId="77777777" w:rsidR="00792DF6" w:rsidRDefault="00792DF6">
      <w:pPr>
        <w:pStyle w:val="BodyText"/>
        <w:spacing w:before="6"/>
      </w:pPr>
    </w:p>
    <w:p w14:paraId="313FC279" w14:textId="77777777" w:rsidR="00792DF6" w:rsidRDefault="00E00C11">
      <w:pPr>
        <w:pStyle w:val="BodyText"/>
        <w:ind w:left="572"/>
      </w:pPr>
      <w:r>
        <w:rPr>
          <w:noProof/>
        </w:rPr>
        <w:drawing>
          <wp:inline distT="0" distB="0" distL="0" distR="0" wp14:anchorId="5F49ED3C" wp14:editId="321EF5BB">
            <wp:extent cx="106679" cy="106679"/>
            <wp:effectExtent l="0" t="0" r="0" b="0"/>
            <wp:docPr id="5" name="Image 5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*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</w:rPr>
        <w:t xml:space="preserve">  </w:t>
      </w:r>
      <w:r>
        <w:rPr>
          <w:color w:val="5F5F5F"/>
        </w:rPr>
        <w:t>Approximately 800 m wide for the Victorian shore crossing.</w:t>
      </w:r>
    </w:p>
    <w:p w14:paraId="761464DC" w14:textId="77777777" w:rsidR="00792DF6" w:rsidRDefault="00792DF6">
      <w:pPr>
        <w:pStyle w:val="BodyText"/>
        <w:rPr>
          <w:sz w:val="18"/>
        </w:rPr>
      </w:pPr>
    </w:p>
    <w:p w14:paraId="076E4203" w14:textId="77777777" w:rsidR="00792DF6" w:rsidRDefault="00792DF6">
      <w:pPr>
        <w:pStyle w:val="BodyText"/>
        <w:rPr>
          <w:sz w:val="18"/>
        </w:rPr>
      </w:pPr>
    </w:p>
    <w:p w14:paraId="2BE72AC2" w14:textId="77777777" w:rsidR="00792DF6" w:rsidRDefault="00792DF6">
      <w:pPr>
        <w:pStyle w:val="BodyText"/>
        <w:rPr>
          <w:sz w:val="18"/>
        </w:rPr>
      </w:pPr>
    </w:p>
    <w:p w14:paraId="5E601AC2" w14:textId="77777777" w:rsidR="00792DF6" w:rsidRDefault="00792DF6">
      <w:pPr>
        <w:pStyle w:val="BodyText"/>
        <w:rPr>
          <w:sz w:val="18"/>
        </w:rPr>
      </w:pPr>
    </w:p>
    <w:p w14:paraId="27EF6CDA" w14:textId="77777777" w:rsidR="00792DF6" w:rsidRDefault="00792DF6">
      <w:pPr>
        <w:pStyle w:val="BodyText"/>
        <w:rPr>
          <w:sz w:val="18"/>
        </w:rPr>
      </w:pPr>
    </w:p>
    <w:p w14:paraId="272FC203" w14:textId="77777777" w:rsidR="00792DF6" w:rsidRDefault="00792DF6">
      <w:pPr>
        <w:pStyle w:val="BodyText"/>
        <w:rPr>
          <w:sz w:val="18"/>
        </w:rPr>
      </w:pPr>
    </w:p>
    <w:p w14:paraId="6E32A642" w14:textId="77777777" w:rsidR="00792DF6" w:rsidRDefault="00792DF6">
      <w:pPr>
        <w:pStyle w:val="BodyText"/>
        <w:rPr>
          <w:sz w:val="18"/>
        </w:rPr>
      </w:pPr>
    </w:p>
    <w:p w14:paraId="28212285" w14:textId="77777777" w:rsidR="00792DF6" w:rsidRDefault="00792DF6">
      <w:pPr>
        <w:pStyle w:val="BodyText"/>
        <w:rPr>
          <w:sz w:val="18"/>
        </w:rPr>
      </w:pPr>
    </w:p>
    <w:p w14:paraId="1A361B90" w14:textId="77777777" w:rsidR="00792DF6" w:rsidRDefault="00792DF6">
      <w:pPr>
        <w:pStyle w:val="BodyText"/>
        <w:rPr>
          <w:sz w:val="18"/>
        </w:rPr>
      </w:pPr>
    </w:p>
    <w:p w14:paraId="28CC3596" w14:textId="77777777" w:rsidR="00792DF6" w:rsidRDefault="00792DF6">
      <w:pPr>
        <w:pStyle w:val="BodyText"/>
        <w:rPr>
          <w:sz w:val="18"/>
        </w:rPr>
      </w:pPr>
    </w:p>
    <w:p w14:paraId="3D307FE7" w14:textId="77777777" w:rsidR="00792DF6" w:rsidRDefault="00792DF6">
      <w:pPr>
        <w:pStyle w:val="BodyText"/>
        <w:rPr>
          <w:sz w:val="18"/>
        </w:rPr>
      </w:pPr>
    </w:p>
    <w:p w14:paraId="08A7948B" w14:textId="77777777" w:rsidR="00792DF6" w:rsidRDefault="00792DF6">
      <w:pPr>
        <w:pStyle w:val="BodyText"/>
        <w:rPr>
          <w:sz w:val="18"/>
        </w:rPr>
      </w:pPr>
    </w:p>
    <w:p w14:paraId="1FFA40E2" w14:textId="77777777" w:rsidR="00792DF6" w:rsidRDefault="00792DF6">
      <w:pPr>
        <w:pStyle w:val="BodyText"/>
        <w:rPr>
          <w:sz w:val="18"/>
        </w:rPr>
      </w:pPr>
    </w:p>
    <w:p w14:paraId="5E97F444" w14:textId="77777777" w:rsidR="00792DF6" w:rsidRDefault="00792DF6">
      <w:pPr>
        <w:pStyle w:val="BodyText"/>
        <w:spacing w:before="23"/>
        <w:rPr>
          <w:sz w:val="18"/>
        </w:rPr>
      </w:pPr>
    </w:p>
    <w:p w14:paraId="0682D090" w14:textId="77777777" w:rsidR="00792DF6" w:rsidRDefault="00E00C11">
      <w:pPr>
        <w:tabs>
          <w:tab w:val="left" w:pos="9327"/>
        </w:tabs>
        <w:ind w:left="683"/>
        <w:rPr>
          <w:rFonts w:ascii="Century Gothic" w:hAnsi="Century Gothic"/>
          <w:sz w:val="18"/>
        </w:rPr>
      </w:pPr>
      <w:r>
        <w:rPr>
          <w:rFonts w:ascii="Century Gothic" w:hAnsi="Century Gothic"/>
          <w:color w:val="808080"/>
          <w:sz w:val="18"/>
        </w:rPr>
        <w:t>Volume</w:t>
      </w:r>
      <w:r>
        <w:rPr>
          <w:rFonts w:ascii="Century Gothic" w:hAnsi="Century Gothic"/>
          <w:color w:val="808080"/>
          <w:spacing w:val="-3"/>
          <w:sz w:val="18"/>
        </w:rPr>
        <w:t xml:space="preserve"> </w:t>
      </w:r>
      <w:r>
        <w:rPr>
          <w:rFonts w:ascii="Century Gothic" w:hAnsi="Century Gothic"/>
          <w:color w:val="808080"/>
          <w:sz w:val="18"/>
        </w:rPr>
        <w:t>3</w:t>
      </w:r>
      <w:r>
        <w:rPr>
          <w:rFonts w:ascii="Century Gothic" w:hAnsi="Century Gothic"/>
          <w:color w:val="808080"/>
          <w:spacing w:val="-5"/>
          <w:sz w:val="18"/>
        </w:rPr>
        <w:t xml:space="preserve"> </w:t>
      </w:r>
      <w:r>
        <w:rPr>
          <w:rFonts w:ascii="Century Gothic" w:hAnsi="Century Gothic"/>
          <w:color w:val="808080"/>
          <w:sz w:val="18"/>
        </w:rPr>
        <w:t>–</w:t>
      </w:r>
      <w:r>
        <w:rPr>
          <w:rFonts w:ascii="Century Gothic" w:hAnsi="Century Gothic"/>
          <w:color w:val="808080"/>
          <w:spacing w:val="-3"/>
          <w:sz w:val="18"/>
        </w:rPr>
        <w:t xml:space="preserve"> </w:t>
      </w:r>
      <w:r>
        <w:rPr>
          <w:rFonts w:ascii="Century Gothic" w:hAnsi="Century Gothic"/>
          <w:color w:val="808080"/>
          <w:sz w:val="18"/>
        </w:rPr>
        <w:t>Marine</w:t>
      </w:r>
      <w:r>
        <w:rPr>
          <w:rFonts w:ascii="Century Gothic" w:hAnsi="Century Gothic"/>
          <w:color w:val="808080"/>
          <w:spacing w:val="-3"/>
          <w:sz w:val="18"/>
        </w:rPr>
        <w:t xml:space="preserve"> </w:t>
      </w:r>
      <w:r>
        <w:rPr>
          <w:rFonts w:ascii="Century Gothic" w:hAnsi="Century Gothic"/>
          <w:color w:val="808080"/>
          <w:spacing w:val="-2"/>
          <w:sz w:val="18"/>
        </w:rPr>
        <w:t>environment</w:t>
      </w:r>
      <w:r>
        <w:rPr>
          <w:rFonts w:ascii="Century Gothic" w:hAnsi="Century Gothic"/>
          <w:color w:val="808080"/>
          <w:sz w:val="18"/>
        </w:rPr>
        <w:tab/>
        <w:t>Page</w:t>
      </w:r>
      <w:r>
        <w:rPr>
          <w:rFonts w:ascii="Century Gothic" w:hAnsi="Century Gothic"/>
          <w:color w:val="808080"/>
          <w:spacing w:val="-1"/>
          <w:sz w:val="18"/>
        </w:rPr>
        <w:t xml:space="preserve"> </w:t>
      </w:r>
      <w:r>
        <w:rPr>
          <w:rFonts w:ascii="Century Gothic" w:hAnsi="Century Gothic"/>
          <w:color w:val="808080"/>
          <w:sz w:val="18"/>
        </w:rPr>
        <w:t>1-</w:t>
      </w:r>
      <w:r>
        <w:rPr>
          <w:rFonts w:ascii="Century Gothic" w:hAnsi="Century Gothic"/>
          <w:color w:val="808080"/>
          <w:spacing w:val="-10"/>
          <w:sz w:val="18"/>
        </w:rPr>
        <w:t>1</w:t>
      </w:r>
    </w:p>
    <w:p w14:paraId="6387E174" w14:textId="77777777" w:rsidR="00792DF6" w:rsidRDefault="00792DF6">
      <w:pPr>
        <w:rPr>
          <w:rFonts w:ascii="Century Gothic" w:hAnsi="Century Gothic"/>
          <w:sz w:val="18"/>
        </w:rPr>
        <w:sectPr w:rsidR="00792DF6">
          <w:type w:val="continuous"/>
          <w:pgSz w:w="11910" w:h="16840"/>
          <w:pgMar w:top="440" w:right="564" w:bottom="0" w:left="560" w:header="720" w:footer="720" w:gutter="0"/>
          <w:cols w:space="720"/>
        </w:sectPr>
      </w:pPr>
    </w:p>
    <w:p w14:paraId="7665D56C" w14:textId="77777777" w:rsidR="00792DF6" w:rsidRDefault="00792DF6">
      <w:pPr>
        <w:pStyle w:val="BodyText"/>
        <w:rPr>
          <w:b/>
          <w:i/>
        </w:rPr>
      </w:pPr>
    </w:p>
    <w:p w14:paraId="3BB996E2" w14:textId="77777777" w:rsidR="00792DF6" w:rsidRDefault="00792DF6">
      <w:pPr>
        <w:pStyle w:val="BodyText"/>
        <w:rPr>
          <w:b/>
          <w:i/>
        </w:rPr>
      </w:pPr>
    </w:p>
    <w:p w14:paraId="59DE1F50" w14:textId="77777777" w:rsidR="00792DF6" w:rsidRDefault="00792DF6">
      <w:pPr>
        <w:pStyle w:val="BodyText"/>
        <w:rPr>
          <w:b/>
          <w:i/>
        </w:rPr>
      </w:pPr>
    </w:p>
    <w:p w14:paraId="3CCDB536" w14:textId="316F8F48" w:rsidR="00792DF6" w:rsidRDefault="00792DF6">
      <w:pPr>
        <w:rPr>
          <w:rFonts w:ascii="Arial Narrow"/>
          <w:sz w:val="8"/>
        </w:rPr>
      </w:pPr>
    </w:p>
    <w:p w14:paraId="3AADBBEF" w14:textId="77777777" w:rsidR="00792DF6" w:rsidRDefault="00792DF6">
      <w:pPr>
        <w:pStyle w:val="BodyText"/>
        <w:rPr>
          <w:rFonts w:ascii="Arial Narrow"/>
          <w:sz w:val="8"/>
        </w:rPr>
      </w:pPr>
    </w:p>
    <w:p w14:paraId="360FA3C8" w14:textId="77777777" w:rsidR="00792DF6" w:rsidRDefault="00792DF6">
      <w:pPr>
        <w:pStyle w:val="BodyText"/>
        <w:rPr>
          <w:rFonts w:ascii="Arial Narrow"/>
          <w:sz w:val="8"/>
        </w:rPr>
      </w:pPr>
    </w:p>
    <w:p w14:paraId="110AEEF9" w14:textId="77777777" w:rsidR="00792DF6" w:rsidRDefault="00792DF6">
      <w:pPr>
        <w:pStyle w:val="BodyText"/>
        <w:rPr>
          <w:rFonts w:ascii="Arial Narrow"/>
          <w:sz w:val="8"/>
        </w:rPr>
      </w:pPr>
    </w:p>
    <w:p w14:paraId="70E4574B" w14:textId="77777777" w:rsidR="00792DF6" w:rsidRDefault="00792DF6">
      <w:pPr>
        <w:rPr>
          <w:rFonts w:ascii="Arial Narrow"/>
          <w:sz w:val="8"/>
        </w:rPr>
        <w:sectPr w:rsidR="00792DF6">
          <w:type w:val="continuous"/>
          <w:pgSz w:w="11910" w:h="16840"/>
          <w:pgMar w:top="440" w:right="561" w:bottom="0" w:left="560" w:header="720" w:footer="720" w:gutter="0"/>
          <w:cols w:num="2" w:space="720" w:equalWidth="0">
            <w:col w:w="6525" w:space="40"/>
            <w:col w:w="4224"/>
          </w:cols>
        </w:sectPr>
      </w:pPr>
    </w:p>
    <w:p w14:paraId="0FFFE096" w14:textId="0086EA04" w:rsidR="00792DF6" w:rsidRDefault="00E00C11">
      <w:pPr>
        <w:pStyle w:val="BodyText"/>
        <w:rPr>
          <w:rFonts w:ascii="Arial Narrow"/>
          <w:b/>
        </w:rPr>
      </w:pPr>
      <w:r>
        <w:rPr>
          <w:rFonts w:ascii="Arial Narrow" w:hAnsi="Arial Narrow"/>
          <w:noProof/>
          <w:sz w:val="8"/>
        </w:rPr>
        <w:lastRenderedPageBreak/>
        <w:drawing>
          <wp:anchor distT="0" distB="0" distL="114300" distR="114300" simplePos="0" relativeHeight="251687424" behindDoc="0" locked="0" layoutInCell="1" allowOverlap="1" wp14:anchorId="657BF714" wp14:editId="617C6418">
            <wp:simplePos x="0" y="0"/>
            <wp:positionH relativeFrom="column">
              <wp:posOffset>-336550</wp:posOffset>
            </wp:positionH>
            <wp:positionV relativeFrom="paragraph">
              <wp:posOffset>-269875</wp:posOffset>
            </wp:positionV>
            <wp:extent cx="7559675" cy="10691495"/>
            <wp:effectExtent l="0" t="0" r="3175" b="0"/>
            <wp:wrapNone/>
            <wp:docPr id="1575203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57850D" w14:textId="77777777" w:rsidR="00792DF6" w:rsidRDefault="00792DF6">
      <w:pPr>
        <w:pStyle w:val="BodyText"/>
        <w:rPr>
          <w:rFonts w:ascii="Arial Narrow"/>
          <w:b/>
        </w:rPr>
      </w:pPr>
    </w:p>
    <w:p w14:paraId="46982428" w14:textId="77777777" w:rsidR="00792DF6" w:rsidRDefault="00792DF6">
      <w:pPr>
        <w:pStyle w:val="BodyText"/>
        <w:rPr>
          <w:rFonts w:ascii="Arial Narrow"/>
          <w:b/>
        </w:rPr>
      </w:pPr>
    </w:p>
    <w:p w14:paraId="55AFE39A" w14:textId="77777777" w:rsidR="00792DF6" w:rsidRDefault="00792DF6">
      <w:pPr>
        <w:pStyle w:val="BodyText"/>
        <w:rPr>
          <w:rFonts w:ascii="Arial Narrow"/>
          <w:b/>
        </w:rPr>
      </w:pPr>
    </w:p>
    <w:p w14:paraId="57BB7950" w14:textId="77777777" w:rsidR="00792DF6" w:rsidRDefault="00792DF6">
      <w:pPr>
        <w:pStyle w:val="BodyText"/>
        <w:rPr>
          <w:rFonts w:ascii="Arial Narrow"/>
          <w:b/>
        </w:rPr>
      </w:pPr>
    </w:p>
    <w:p w14:paraId="4E29E141" w14:textId="77777777" w:rsidR="00792DF6" w:rsidRDefault="00792DF6">
      <w:pPr>
        <w:pStyle w:val="BodyText"/>
        <w:rPr>
          <w:rFonts w:ascii="Arial Narrow"/>
          <w:b/>
        </w:rPr>
      </w:pPr>
    </w:p>
    <w:p w14:paraId="37B369BC" w14:textId="77777777" w:rsidR="00792DF6" w:rsidRDefault="00792DF6">
      <w:pPr>
        <w:pStyle w:val="BodyText"/>
        <w:rPr>
          <w:rFonts w:ascii="Arial Narrow"/>
          <w:b/>
        </w:rPr>
      </w:pPr>
    </w:p>
    <w:p w14:paraId="47417528" w14:textId="60503826" w:rsidR="00792DF6" w:rsidRDefault="00792DF6">
      <w:pPr>
        <w:spacing w:before="100"/>
        <w:ind w:left="252"/>
        <w:rPr>
          <w:rFonts w:ascii="Arial Narrow"/>
          <w:b/>
          <w:sz w:val="12"/>
        </w:rPr>
      </w:pPr>
    </w:p>
    <w:p w14:paraId="35385FE4" w14:textId="77777777" w:rsidR="00792DF6" w:rsidRDefault="00792DF6">
      <w:pPr>
        <w:rPr>
          <w:rFonts w:ascii="Arial Narrow"/>
          <w:sz w:val="12"/>
        </w:rPr>
        <w:sectPr w:rsidR="00792DF6">
          <w:type w:val="continuous"/>
          <w:pgSz w:w="11910" w:h="16840"/>
          <w:pgMar w:top="440" w:right="560" w:bottom="0" w:left="560" w:header="720" w:footer="720" w:gutter="0"/>
          <w:cols w:num="6" w:space="720" w:equalWidth="0">
            <w:col w:w="730" w:space="988"/>
            <w:col w:w="730" w:space="988"/>
            <w:col w:w="730" w:space="988"/>
            <w:col w:w="730" w:space="988"/>
            <w:col w:w="730" w:space="988"/>
            <w:col w:w="2200"/>
          </w:cols>
        </w:sectPr>
      </w:pPr>
    </w:p>
    <w:p w14:paraId="4EC377EE" w14:textId="34650E34" w:rsidR="00792DF6" w:rsidRDefault="00792DF6">
      <w:pPr>
        <w:pStyle w:val="BodyText"/>
        <w:rPr>
          <w:rFonts w:ascii="Arial Narrow"/>
          <w:b/>
          <w:sz w:val="8"/>
        </w:rPr>
      </w:pPr>
    </w:p>
    <w:p w14:paraId="6F2D5CD8" w14:textId="23DEC0A7" w:rsidR="00792DF6" w:rsidRDefault="00E00C11" w:rsidP="00D0724C">
      <w:r>
        <w:rPr>
          <w:w w:val="105"/>
        </w:rPr>
        <w:t>.</w:t>
      </w:r>
    </w:p>
    <w:p w14:paraId="3A4FAE0D" w14:textId="26EB5064" w:rsidR="00792DF6" w:rsidRDefault="00792DF6" w:rsidP="00D0724C">
      <w:pPr>
        <w:sectPr w:rsidR="00792DF6">
          <w:type w:val="continuous"/>
          <w:pgSz w:w="11910" w:h="16840"/>
          <w:pgMar w:top="440" w:right="560" w:bottom="0" w:left="560" w:header="720" w:footer="720" w:gutter="0"/>
          <w:cols w:space="720"/>
        </w:sectPr>
      </w:pPr>
    </w:p>
    <w:p w14:paraId="0E8A66FE" w14:textId="28349C7A" w:rsidR="00D0724C" w:rsidRDefault="00D0724C" w:rsidP="00D0724C">
      <w:r>
        <w:rPr>
          <w:noProof/>
          <w:color w:val="18314A"/>
        </w:rPr>
        <w:lastRenderedPageBreak/>
        <w:drawing>
          <wp:anchor distT="0" distB="0" distL="114300" distR="114300" simplePos="0" relativeHeight="251658240" behindDoc="0" locked="0" layoutInCell="1" allowOverlap="1" wp14:anchorId="6D8A1488" wp14:editId="5756936F">
            <wp:simplePos x="0" y="0"/>
            <wp:positionH relativeFrom="column">
              <wp:posOffset>-507475</wp:posOffset>
            </wp:positionH>
            <wp:positionV relativeFrom="paragraph">
              <wp:posOffset>-647665</wp:posOffset>
            </wp:positionV>
            <wp:extent cx="10702800" cy="7560000"/>
            <wp:effectExtent l="0" t="0" r="3810" b="3175"/>
            <wp:wrapNone/>
            <wp:docPr id="277715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8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F8787" w14:textId="60E61E82" w:rsidR="00D0724C" w:rsidRDefault="00D0724C" w:rsidP="00D0724C"/>
    <w:p w14:paraId="5D3E8F39" w14:textId="77777777" w:rsidR="00D0724C" w:rsidRDefault="00D0724C" w:rsidP="00D0724C"/>
    <w:p w14:paraId="2801B42D" w14:textId="43B5957C" w:rsidR="00D0724C" w:rsidRDefault="00D0724C" w:rsidP="00D0724C">
      <w:pPr>
        <w:rPr>
          <w:color w:val="18314A"/>
        </w:rPr>
        <w:sectPr w:rsidR="00D0724C" w:rsidSect="00D0724C">
          <w:headerReference w:type="default" r:id="rId13"/>
          <w:footerReference w:type="default" r:id="rId14"/>
          <w:pgSz w:w="16840" w:h="11910" w:orient="landscape"/>
          <w:pgMar w:top="1020" w:right="1500" w:bottom="1020" w:left="800" w:header="467" w:footer="612" w:gutter="0"/>
          <w:pgNumType w:start="4"/>
          <w:cols w:space="720"/>
          <w:docGrid w:linePitch="299"/>
        </w:sectPr>
      </w:pPr>
    </w:p>
    <w:p w14:paraId="1DD4EBA3" w14:textId="77777777" w:rsidR="00792DF6" w:rsidRDefault="00E00C11">
      <w:pPr>
        <w:pStyle w:val="Heading1"/>
        <w:numPr>
          <w:ilvl w:val="1"/>
          <w:numId w:val="5"/>
        </w:numPr>
        <w:tabs>
          <w:tab w:val="left" w:pos="960"/>
        </w:tabs>
        <w:spacing w:before="91"/>
        <w:ind w:left="960" w:hanging="848"/>
        <w:jc w:val="left"/>
      </w:pPr>
      <w:r>
        <w:rPr>
          <w:color w:val="18314A"/>
        </w:rPr>
        <w:lastRenderedPageBreak/>
        <w:t>Stakeholder</w:t>
      </w:r>
      <w:r>
        <w:rPr>
          <w:color w:val="18314A"/>
          <w:spacing w:val="-16"/>
        </w:rPr>
        <w:t xml:space="preserve"> </w:t>
      </w:r>
      <w:r>
        <w:rPr>
          <w:color w:val="18314A"/>
          <w:spacing w:val="-2"/>
        </w:rPr>
        <w:t>engagement</w:t>
      </w:r>
    </w:p>
    <w:p w14:paraId="0C608790" w14:textId="77777777" w:rsidR="00792DF6" w:rsidRDefault="00E00C11">
      <w:pPr>
        <w:pStyle w:val="BodyText"/>
        <w:spacing w:before="359" w:line="360" w:lineRule="auto"/>
        <w:ind w:left="113" w:right="273" w:hanging="1"/>
      </w:pPr>
      <w:r>
        <w:rPr>
          <w:color w:val="585858"/>
        </w:rPr>
        <w:t>Marinus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Link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Pty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Ltd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(MLPL)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has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engaged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stakeholders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about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potential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impacts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project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 xml:space="preserve">and seeking feedback. This section </w:t>
      </w:r>
      <w:proofErr w:type="spellStart"/>
      <w:r>
        <w:rPr>
          <w:color w:val="585858"/>
        </w:rPr>
        <w:t>summarises</w:t>
      </w:r>
      <w:proofErr w:type="spellEnd"/>
      <w:r>
        <w:rPr>
          <w:color w:val="585858"/>
        </w:rPr>
        <w:t xml:space="preserve"> the key engagement activities undertaken with maritime </w:t>
      </w:r>
      <w:r>
        <w:rPr>
          <w:color w:val="585858"/>
          <w:spacing w:val="-2"/>
        </w:rPr>
        <w:t>stakeholders.</w:t>
      </w:r>
    </w:p>
    <w:p w14:paraId="6E3D4D64" w14:textId="77777777" w:rsidR="00792DF6" w:rsidRDefault="00E00C11">
      <w:pPr>
        <w:pStyle w:val="BodyText"/>
        <w:spacing w:before="59" w:line="360" w:lineRule="auto"/>
        <w:ind w:left="113" w:right="217"/>
      </w:pPr>
      <w:r>
        <w:rPr>
          <w:color w:val="585858"/>
        </w:rPr>
        <w:t>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summary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key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project stakeholders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approach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engagement is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provided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Volume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1, Chapter 8 – Community and stakeholder engagement.</w:t>
      </w:r>
    </w:p>
    <w:p w14:paraId="40CEEA5E" w14:textId="77777777" w:rsidR="00792DF6" w:rsidRDefault="00792DF6">
      <w:pPr>
        <w:pStyle w:val="BodyText"/>
        <w:spacing w:before="132"/>
      </w:pPr>
    </w:p>
    <w:p w14:paraId="5D01E77F" w14:textId="77777777" w:rsidR="00792DF6" w:rsidRDefault="00E00C11">
      <w:pPr>
        <w:pStyle w:val="Heading2"/>
        <w:numPr>
          <w:ilvl w:val="2"/>
          <w:numId w:val="5"/>
        </w:numPr>
        <w:tabs>
          <w:tab w:val="left" w:pos="1245"/>
        </w:tabs>
      </w:pPr>
      <w:bookmarkStart w:id="2" w:name="1.2.1_Engagement_activities"/>
      <w:bookmarkEnd w:id="2"/>
      <w:r>
        <w:rPr>
          <w:color w:val="18314A"/>
        </w:rPr>
        <w:t>Engagement</w:t>
      </w:r>
      <w:r>
        <w:rPr>
          <w:color w:val="18314A"/>
          <w:spacing w:val="-13"/>
        </w:rPr>
        <w:t xml:space="preserve"> </w:t>
      </w:r>
      <w:r>
        <w:rPr>
          <w:color w:val="18314A"/>
          <w:spacing w:val="-2"/>
        </w:rPr>
        <w:t>activities</w:t>
      </w:r>
    </w:p>
    <w:p w14:paraId="2D1ADAB0" w14:textId="77777777" w:rsidR="00792DF6" w:rsidRDefault="00E00C11">
      <w:pPr>
        <w:pStyle w:val="BodyText"/>
        <w:spacing w:before="241" w:line="355" w:lineRule="auto"/>
        <w:ind w:left="112" w:right="273"/>
      </w:pP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engagement strategy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consists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five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phases, as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shown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2"/>
        </w:rPr>
        <w:t xml:space="preserve"> </w:t>
      </w:r>
      <w:hyperlink w:anchor="_bookmark2" w:history="1">
        <w:r>
          <w:rPr>
            <w:color w:val="585858"/>
          </w:rPr>
          <w:t>Figure</w:t>
        </w:r>
        <w:r>
          <w:rPr>
            <w:color w:val="585858"/>
            <w:spacing w:val="-5"/>
          </w:rPr>
          <w:t xml:space="preserve"> </w:t>
        </w:r>
        <w:r>
          <w:rPr>
            <w:color w:val="585858"/>
          </w:rPr>
          <w:t>3-03.</w:t>
        </w:r>
      </w:hyperlink>
      <w:r>
        <w:rPr>
          <w:color w:val="585858"/>
        </w:rPr>
        <w:t xml:space="preserve"> Engagement activities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for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the EIS/EES were mainly during phase 3. Phase 4 will commence with public exhibition of the EIS/EES.</w:t>
      </w:r>
    </w:p>
    <w:p w14:paraId="7A446CD3" w14:textId="77777777" w:rsidR="00792DF6" w:rsidRDefault="00792DF6">
      <w:pPr>
        <w:pStyle w:val="BodyText"/>
        <w:spacing w:before="4"/>
        <w:rPr>
          <w:sz w:val="12"/>
        </w:rPr>
      </w:pPr>
    </w:p>
    <w:p w14:paraId="2E0FC128" w14:textId="77777777" w:rsidR="00792DF6" w:rsidRDefault="00E00C11">
      <w:pPr>
        <w:pStyle w:val="BodyText"/>
        <w:ind w:left="107" w:right="-58"/>
      </w:pPr>
      <w:r>
        <w:rPr>
          <w:noProof/>
        </w:rPr>
        <w:drawing>
          <wp:inline distT="0" distB="0" distL="0" distR="0" wp14:anchorId="12B43E17" wp14:editId="27BEA577">
            <wp:extent cx="6207831" cy="2921507"/>
            <wp:effectExtent l="0" t="0" r="0" b="0"/>
            <wp:docPr id="166" name="Image 166" descr="C:\Users\SerblanC\AppData\Local\Microsoft\Windows\INetCache\Content.Outlook\RZ35Y95C\Engagement-phases-v5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 descr="C:\Users\SerblanC\AppData\Local\Microsoft\Windows\INetCache\Content.Outlook\RZ35Y95C\Engagement-phases-v5.png 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831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E197" w14:textId="77777777" w:rsidR="00792DF6" w:rsidRDefault="00E00C11">
      <w:pPr>
        <w:pStyle w:val="BodyText"/>
        <w:tabs>
          <w:tab w:val="left" w:pos="1552"/>
        </w:tabs>
        <w:spacing w:before="130"/>
        <w:ind w:left="112"/>
        <w:rPr>
          <w:rFonts w:ascii="Century Gothic"/>
        </w:rPr>
      </w:pPr>
      <w:bookmarkStart w:id="3" w:name="_bookmark2"/>
      <w:bookmarkEnd w:id="3"/>
      <w:r>
        <w:rPr>
          <w:rFonts w:ascii="Century Gothic"/>
          <w:color w:val="18314A"/>
        </w:rPr>
        <w:t>Figure</w:t>
      </w:r>
      <w:r>
        <w:rPr>
          <w:rFonts w:ascii="Century Gothic"/>
          <w:color w:val="18314A"/>
          <w:spacing w:val="-6"/>
        </w:rPr>
        <w:t xml:space="preserve"> </w:t>
      </w:r>
      <w:r>
        <w:rPr>
          <w:rFonts w:ascii="Century Gothic"/>
          <w:color w:val="18314A"/>
        </w:rPr>
        <w:t>3-</w:t>
      </w:r>
      <w:r>
        <w:rPr>
          <w:rFonts w:ascii="Century Gothic"/>
          <w:color w:val="18314A"/>
          <w:spacing w:val="-5"/>
        </w:rPr>
        <w:t>03</w:t>
      </w:r>
      <w:r>
        <w:rPr>
          <w:rFonts w:ascii="Century Gothic"/>
          <w:color w:val="18314A"/>
        </w:rPr>
        <w:tab/>
      </w:r>
      <w:r>
        <w:rPr>
          <w:rFonts w:ascii="Century Gothic"/>
          <w:color w:val="18314A"/>
          <w:spacing w:val="-2"/>
        </w:rPr>
        <w:t>Consultation</w:t>
      </w:r>
      <w:r>
        <w:rPr>
          <w:rFonts w:ascii="Century Gothic"/>
          <w:color w:val="18314A"/>
          <w:spacing w:val="9"/>
        </w:rPr>
        <w:t xml:space="preserve"> </w:t>
      </w:r>
      <w:r>
        <w:rPr>
          <w:rFonts w:ascii="Century Gothic"/>
          <w:color w:val="18314A"/>
          <w:spacing w:val="-2"/>
        </w:rPr>
        <w:t>phases</w:t>
      </w:r>
    </w:p>
    <w:p w14:paraId="04E83154" w14:textId="77777777" w:rsidR="00792DF6" w:rsidRDefault="00792DF6">
      <w:pPr>
        <w:pStyle w:val="BodyText"/>
        <w:spacing w:before="13"/>
        <w:rPr>
          <w:rFonts w:ascii="Century Gothic"/>
        </w:rPr>
      </w:pPr>
    </w:p>
    <w:p w14:paraId="5AB92454" w14:textId="77777777" w:rsidR="00792DF6" w:rsidRDefault="00E00C11">
      <w:pPr>
        <w:pStyle w:val="BodyText"/>
        <w:spacing w:line="360" w:lineRule="auto"/>
        <w:ind w:left="112" w:right="273"/>
      </w:pPr>
      <w:r>
        <w:rPr>
          <w:color w:val="585858"/>
        </w:rPr>
        <w:t>Phase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1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 engagement occurred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over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an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18-month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period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between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July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2018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December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2019, with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 focus on raising awareness of the project supporting the project’s Regulatory Investment Test for Transmission (RIT-T) process.</w:t>
      </w:r>
    </w:p>
    <w:p w14:paraId="0BB388EE" w14:textId="77777777" w:rsidR="00792DF6" w:rsidRDefault="00E00C11">
      <w:pPr>
        <w:pStyle w:val="BodyText"/>
        <w:spacing w:before="117" w:line="360" w:lineRule="auto"/>
        <w:ind w:left="112" w:right="273"/>
      </w:pPr>
      <w:r>
        <w:rPr>
          <w:color w:val="585858"/>
        </w:rPr>
        <w:t>Direct engagement with Bass Strait marine and maritime industry stakeholders began in July 2021 (in phase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2)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invitations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for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one-on-one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project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introduction. During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this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time, nine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project introduction meetings were held online and in-person with stakeholders including the Tasmanian Seafood Industry Council (TSIC), Marine and Safety Tasmania (MAST),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Burnie Ports, Transport Safety Victoria (formerly Maritime Safety Victoria), Victorian Fisheries Authority, Telstra (</w:t>
      </w:r>
      <w:proofErr w:type="spellStart"/>
      <w:r>
        <w:rPr>
          <w:color w:val="585858"/>
        </w:rPr>
        <w:t>Infraco</w:t>
      </w:r>
      <w:proofErr w:type="spellEnd"/>
      <w:r>
        <w:rPr>
          <w:color w:val="585858"/>
        </w:rPr>
        <w:t xml:space="preserve">, asset managers), Indigo cable (Singtel, Optus), and </w:t>
      </w:r>
      <w:proofErr w:type="gramStart"/>
      <w:r>
        <w:rPr>
          <w:color w:val="585858"/>
        </w:rPr>
        <w:t>South East</w:t>
      </w:r>
      <w:proofErr w:type="gramEnd"/>
      <w:r>
        <w:rPr>
          <w:color w:val="585858"/>
        </w:rPr>
        <w:t xml:space="preserve"> Trawl Fishing Industry Association (SETFIA).</w:t>
      </w:r>
    </w:p>
    <w:p w14:paraId="0198C0D8" w14:textId="77777777" w:rsidR="00792DF6" w:rsidRDefault="00E00C11">
      <w:pPr>
        <w:pStyle w:val="BodyText"/>
        <w:spacing w:before="124" w:line="360" w:lineRule="auto"/>
        <w:ind w:left="113" w:right="273" w:hanging="1"/>
      </w:pPr>
      <w:r>
        <w:rPr>
          <w:color w:val="585858"/>
        </w:rPr>
        <w:t>Email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correspondence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stakeholders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was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progressed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late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2021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throughout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2022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relating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to planned (and now completed) marine surveys.</w:t>
      </w:r>
    </w:p>
    <w:p w14:paraId="5C2AE2A7" w14:textId="77777777" w:rsidR="00792DF6" w:rsidRDefault="00792DF6">
      <w:pPr>
        <w:spacing w:line="360" w:lineRule="auto"/>
        <w:sectPr w:rsidR="00792DF6">
          <w:pgSz w:w="11910" w:h="16840"/>
          <w:pgMar w:top="1500" w:right="1020" w:bottom="800" w:left="1020" w:header="467" w:footer="612" w:gutter="0"/>
          <w:pgNumType w:start="4"/>
          <w:cols w:space="720"/>
        </w:sectPr>
      </w:pPr>
    </w:p>
    <w:p w14:paraId="744605BF" w14:textId="77777777" w:rsidR="00792DF6" w:rsidRDefault="00E00C11">
      <w:pPr>
        <w:pStyle w:val="BodyText"/>
        <w:spacing w:before="92" w:line="360" w:lineRule="auto"/>
        <w:ind w:left="112"/>
      </w:pPr>
      <w:r>
        <w:rPr>
          <w:color w:val="585858"/>
        </w:rPr>
        <w:lastRenderedPageBreak/>
        <w:t>During preparation of the EIS/EES through 2022 and 2023, a range of engagement activities have been completed to inform Bass Strait stakeholders about the project and potential associated environmental and heritage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impacts.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SETFIA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was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engaged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by MLPL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identify 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commercial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fishing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sectors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project area. 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engagement sought general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information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about these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fisheries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impacts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that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project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 xml:space="preserve">may have on them. The engagement was undertaken with Commonwealth, Victorian and Tasmanian managed </w:t>
      </w:r>
      <w:r>
        <w:rPr>
          <w:color w:val="585858"/>
          <w:spacing w:val="-2"/>
        </w:rPr>
        <w:t>fisheries.</w:t>
      </w:r>
    </w:p>
    <w:p w14:paraId="3D5756F7" w14:textId="77777777" w:rsidR="00792DF6" w:rsidRDefault="00792DF6">
      <w:pPr>
        <w:pStyle w:val="BodyText"/>
        <w:spacing w:before="129"/>
      </w:pPr>
    </w:p>
    <w:p w14:paraId="5AB00ED5" w14:textId="77777777" w:rsidR="00792DF6" w:rsidRDefault="00E00C11">
      <w:pPr>
        <w:pStyle w:val="Heading2"/>
        <w:numPr>
          <w:ilvl w:val="2"/>
          <w:numId w:val="5"/>
        </w:numPr>
        <w:tabs>
          <w:tab w:val="left" w:pos="1245"/>
        </w:tabs>
      </w:pPr>
      <w:bookmarkStart w:id="4" w:name="1.2.2_Engagement_outcomes_and_responses"/>
      <w:bookmarkEnd w:id="4"/>
      <w:r>
        <w:rPr>
          <w:color w:val="18314A"/>
        </w:rPr>
        <w:t>Engagement</w:t>
      </w:r>
      <w:r>
        <w:rPr>
          <w:color w:val="18314A"/>
          <w:spacing w:val="-10"/>
        </w:rPr>
        <w:t xml:space="preserve"> </w:t>
      </w:r>
      <w:r>
        <w:rPr>
          <w:color w:val="18314A"/>
        </w:rPr>
        <w:t>outcomes</w:t>
      </w:r>
      <w:r>
        <w:rPr>
          <w:color w:val="18314A"/>
          <w:spacing w:val="-10"/>
        </w:rPr>
        <w:t xml:space="preserve"> </w:t>
      </w:r>
      <w:r>
        <w:rPr>
          <w:color w:val="18314A"/>
        </w:rPr>
        <w:t>and</w:t>
      </w:r>
      <w:r>
        <w:rPr>
          <w:color w:val="18314A"/>
          <w:spacing w:val="-10"/>
        </w:rPr>
        <w:t xml:space="preserve"> </w:t>
      </w:r>
      <w:r>
        <w:rPr>
          <w:color w:val="18314A"/>
          <w:spacing w:val="-2"/>
        </w:rPr>
        <w:t>responses</w:t>
      </w:r>
    </w:p>
    <w:p w14:paraId="2F35D7B3" w14:textId="77777777" w:rsidR="00792DF6" w:rsidRDefault="00E00C11">
      <w:pPr>
        <w:pStyle w:val="BodyText"/>
        <w:spacing w:before="241" w:line="357" w:lineRule="auto"/>
        <w:ind w:left="113" w:right="91" w:hanging="1"/>
      </w:pP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key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interest and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concerns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raised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through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engagement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maritime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stakeholders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summarised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 xml:space="preserve">in </w:t>
      </w:r>
      <w:hyperlink w:anchor="_bookmark3" w:history="1">
        <w:r>
          <w:rPr>
            <w:color w:val="585858"/>
          </w:rPr>
          <w:t>Table 1-1.</w:t>
        </w:r>
      </w:hyperlink>
      <w:r>
        <w:rPr>
          <w:color w:val="585858"/>
        </w:rPr>
        <w:t xml:space="preserve"> 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feedback has informed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the project development and technical studies completed to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support the EIS/EES.</w:t>
      </w:r>
    </w:p>
    <w:p w14:paraId="3FA0AB18" w14:textId="77777777" w:rsidR="00792DF6" w:rsidRDefault="00E00C11">
      <w:pPr>
        <w:pStyle w:val="BodyText"/>
        <w:tabs>
          <w:tab w:val="left" w:pos="1553"/>
        </w:tabs>
        <w:spacing w:before="125"/>
        <w:ind w:left="113"/>
        <w:rPr>
          <w:rFonts w:ascii="Century Gothic"/>
        </w:rPr>
      </w:pPr>
      <w:bookmarkStart w:id="5" w:name="_bookmark3"/>
      <w:bookmarkEnd w:id="5"/>
      <w:r>
        <w:rPr>
          <w:rFonts w:ascii="Century Gothic"/>
          <w:color w:val="18314A"/>
        </w:rPr>
        <w:t>Table</w:t>
      </w:r>
      <w:r>
        <w:rPr>
          <w:rFonts w:ascii="Century Gothic"/>
          <w:color w:val="18314A"/>
          <w:spacing w:val="-8"/>
        </w:rPr>
        <w:t xml:space="preserve"> </w:t>
      </w:r>
      <w:r>
        <w:rPr>
          <w:rFonts w:ascii="Century Gothic"/>
          <w:color w:val="18314A"/>
        </w:rPr>
        <w:t>1-</w:t>
      </w:r>
      <w:r>
        <w:rPr>
          <w:rFonts w:ascii="Century Gothic"/>
          <w:color w:val="18314A"/>
          <w:spacing w:val="-10"/>
        </w:rPr>
        <w:t>1</w:t>
      </w:r>
      <w:r>
        <w:rPr>
          <w:rFonts w:ascii="Century Gothic"/>
          <w:color w:val="18314A"/>
        </w:rPr>
        <w:tab/>
        <w:t>Interests</w:t>
      </w:r>
      <w:r>
        <w:rPr>
          <w:rFonts w:ascii="Century Gothic"/>
          <w:color w:val="18314A"/>
          <w:spacing w:val="-9"/>
        </w:rPr>
        <w:t xml:space="preserve"> </w:t>
      </w:r>
      <w:r>
        <w:rPr>
          <w:rFonts w:ascii="Century Gothic"/>
          <w:color w:val="18314A"/>
        </w:rPr>
        <w:t>and</w:t>
      </w:r>
      <w:r>
        <w:rPr>
          <w:rFonts w:ascii="Century Gothic"/>
          <w:color w:val="18314A"/>
          <w:spacing w:val="-5"/>
        </w:rPr>
        <w:t xml:space="preserve"> </w:t>
      </w:r>
      <w:r>
        <w:rPr>
          <w:rFonts w:ascii="Century Gothic"/>
          <w:color w:val="18314A"/>
        </w:rPr>
        <w:t>concerns</w:t>
      </w:r>
      <w:r>
        <w:rPr>
          <w:rFonts w:ascii="Century Gothic"/>
          <w:color w:val="18314A"/>
          <w:spacing w:val="-11"/>
        </w:rPr>
        <w:t xml:space="preserve"> </w:t>
      </w:r>
      <w:r>
        <w:rPr>
          <w:rFonts w:ascii="Century Gothic"/>
          <w:color w:val="18314A"/>
        </w:rPr>
        <w:t>raised</w:t>
      </w:r>
      <w:r>
        <w:rPr>
          <w:rFonts w:ascii="Century Gothic"/>
          <w:color w:val="18314A"/>
          <w:spacing w:val="-8"/>
        </w:rPr>
        <w:t xml:space="preserve"> </w:t>
      </w:r>
      <w:r>
        <w:rPr>
          <w:rFonts w:ascii="Century Gothic"/>
          <w:color w:val="18314A"/>
        </w:rPr>
        <w:t>by</w:t>
      </w:r>
      <w:r>
        <w:rPr>
          <w:rFonts w:ascii="Century Gothic"/>
          <w:color w:val="18314A"/>
          <w:spacing w:val="-8"/>
        </w:rPr>
        <w:t xml:space="preserve"> </w:t>
      </w:r>
      <w:r>
        <w:rPr>
          <w:rFonts w:ascii="Century Gothic"/>
          <w:color w:val="18314A"/>
        </w:rPr>
        <w:t>the</w:t>
      </w:r>
      <w:r>
        <w:rPr>
          <w:rFonts w:ascii="Century Gothic"/>
          <w:color w:val="18314A"/>
          <w:spacing w:val="-7"/>
        </w:rPr>
        <w:t xml:space="preserve"> </w:t>
      </w:r>
      <w:r>
        <w:rPr>
          <w:rFonts w:ascii="Century Gothic"/>
          <w:color w:val="18314A"/>
        </w:rPr>
        <w:t>maritime</w:t>
      </w:r>
      <w:r>
        <w:rPr>
          <w:rFonts w:ascii="Century Gothic"/>
          <w:color w:val="18314A"/>
          <w:spacing w:val="-10"/>
        </w:rPr>
        <w:t xml:space="preserve"> </w:t>
      </w:r>
      <w:proofErr w:type="gramStart"/>
      <w:r>
        <w:rPr>
          <w:rFonts w:ascii="Century Gothic"/>
          <w:color w:val="18314A"/>
          <w:spacing w:val="-2"/>
        </w:rPr>
        <w:t>stakeholders</w:t>
      </w:r>
      <w:proofErr w:type="gramEnd"/>
    </w:p>
    <w:p w14:paraId="11D092FC" w14:textId="77777777" w:rsidR="00792DF6" w:rsidRDefault="00792DF6">
      <w:pPr>
        <w:pStyle w:val="BodyText"/>
        <w:spacing w:before="9"/>
        <w:rPr>
          <w:rFonts w:ascii="Century Gothic"/>
          <w:sz w:val="9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2503"/>
        <w:gridCol w:w="5291"/>
      </w:tblGrid>
      <w:tr w:rsidR="00792DF6" w14:paraId="757BA974" w14:textId="77777777">
        <w:trPr>
          <w:trHeight w:val="470"/>
        </w:trPr>
        <w:tc>
          <w:tcPr>
            <w:tcW w:w="1843" w:type="dxa"/>
            <w:shd w:val="clear" w:color="auto" w:fill="133149"/>
          </w:tcPr>
          <w:p w14:paraId="09A38A2B" w14:textId="77777777" w:rsidR="00792DF6" w:rsidRDefault="00E00C11">
            <w:pPr>
              <w:pStyle w:val="TableParagraph"/>
              <w:spacing w:before="133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Theme</w:t>
            </w:r>
          </w:p>
        </w:tc>
        <w:tc>
          <w:tcPr>
            <w:tcW w:w="2503" w:type="dxa"/>
            <w:shd w:val="clear" w:color="auto" w:fill="133149"/>
          </w:tcPr>
          <w:p w14:paraId="61F84512" w14:textId="77777777" w:rsidR="00792DF6" w:rsidRDefault="00E00C11">
            <w:pPr>
              <w:pStyle w:val="TableParagraph"/>
              <w:spacing w:before="13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Issues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raised</w:t>
            </w:r>
          </w:p>
        </w:tc>
        <w:tc>
          <w:tcPr>
            <w:tcW w:w="5291" w:type="dxa"/>
            <w:shd w:val="clear" w:color="auto" w:fill="133149"/>
          </w:tcPr>
          <w:p w14:paraId="0C7EBF40" w14:textId="77777777" w:rsidR="00792DF6" w:rsidRDefault="00E00C11">
            <w:pPr>
              <w:pStyle w:val="TableParagraph"/>
              <w:spacing w:before="133"/>
              <w:ind w:left="15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MLPL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response</w:t>
            </w:r>
          </w:p>
        </w:tc>
      </w:tr>
      <w:tr w:rsidR="00792DF6" w14:paraId="2763CCD0" w14:textId="77777777">
        <w:trPr>
          <w:trHeight w:val="2298"/>
        </w:trPr>
        <w:tc>
          <w:tcPr>
            <w:tcW w:w="1843" w:type="dxa"/>
            <w:vMerge w:val="restart"/>
            <w:shd w:val="clear" w:color="auto" w:fill="D3E6F4"/>
          </w:tcPr>
          <w:p w14:paraId="2420B19E" w14:textId="77777777" w:rsidR="00792DF6" w:rsidRDefault="00E00C11">
            <w:pPr>
              <w:pStyle w:val="TableParagraph"/>
              <w:rPr>
                <w:sz w:val="18"/>
              </w:rPr>
            </w:pPr>
            <w:r>
              <w:rPr>
                <w:color w:val="5F5F5F"/>
                <w:sz w:val="18"/>
              </w:rPr>
              <w:t>Commercial and recreational</w:t>
            </w:r>
            <w:r>
              <w:rPr>
                <w:color w:val="5F5F5F"/>
                <w:spacing w:val="-1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fishing</w:t>
            </w:r>
          </w:p>
        </w:tc>
        <w:tc>
          <w:tcPr>
            <w:tcW w:w="2503" w:type="dxa"/>
            <w:tcBorders>
              <w:bottom w:val="single" w:sz="4" w:space="0" w:color="18314A"/>
            </w:tcBorders>
            <w:shd w:val="clear" w:color="auto" w:fill="D3E6F4"/>
          </w:tcPr>
          <w:p w14:paraId="154AB239" w14:textId="77777777" w:rsidR="00792DF6" w:rsidRDefault="00E00C11">
            <w:pPr>
              <w:pStyle w:val="TableParagraph"/>
              <w:rPr>
                <w:sz w:val="18"/>
              </w:rPr>
            </w:pPr>
            <w:r>
              <w:rPr>
                <w:color w:val="5F5F5F"/>
                <w:sz w:val="18"/>
              </w:rPr>
              <w:t>Requests for ongoing engagement with fishery stakeholders</w:t>
            </w:r>
            <w:r>
              <w:rPr>
                <w:color w:val="5F5F5F"/>
                <w:spacing w:val="-1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10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help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identify potential impacts.</w:t>
            </w:r>
          </w:p>
        </w:tc>
        <w:tc>
          <w:tcPr>
            <w:tcW w:w="5291" w:type="dxa"/>
            <w:tcBorders>
              <w:bottom w:val="single" w:sz="4" w:space="0" w:color="18314A"/>
            </w:tcBorders>
            <w:shd w:val="clear" w:color="auto" w:fill="D3E6F4"/>
          </w:tcPr>
          <w:p w14:paraId="6DA3F48B" w14:textId="77777777" w:rsidR="00792DF6" w:rsidRDefault="00E00C11">
            <w:pPr>
              <w:pStyle w:val="TableParagraph"/>
              <w:spacing w:line="242" w:lineRule="auto"/>
              <w:ind w:left="156" w:right="145"/>
              <w:jc w:val="both"/>
              <w:rPr>
                <w:sz w:val="18"/>
              </w:rPr>
            </w:pPr>
            <w:r>
              <w:rPr>
                <w:color w:val="5F5F5F"/>
                <w:sz w:val="18"/>
              </w:rPr>
              <w:t>The importance of engaging with key fishery stakeholders has been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acknowledged</w:t>
            </w:r>
            <w:r>
              <w:rPr>
                <w:color w:val="5F5F5F"/>
                <w:spacing w:val="-1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throughout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development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of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project and will continue during project construction.</w:t>
            </w:r>
          </w:p>
          <w:p w14:paraId="45E96F68" w14:textId="77777777" w:rsidR="00792DF6" w:rsidRDefault="00E00C11">
            <w:pPr>
              <w:pStyle w:val="TableParagraph"/>
              <w:spacing w:before="0"/>
              <w:ind w:left="156" w:right="141"/>
              <w:rPr>
                <w:sz w:val="18"/>
              </w:rPr>
            </w:pPr>
            <w:r>
              <w:rPr>
                <w:color w:val="5F5F5F"/>
                <w:sz w:val="18"/>
              </w:rPr>
              <w:t>MLPL will engage with commercial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 recreational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fishers on the project activities, schedule, </w:t>
            </w:r>
            <w:proofErr w:type="gramStart"/>
            <w:r>
              <w:rPr>
                <w:color w:val="5F5F5F"/>
                <w:sz w:val="18"/>
              </w:rPr>
              <w:t>locations</w:t>
            </w:r>
            <w:proofErr w:type="gramEnd"/>
            <w:r>
              <w:rPr>
                <w:color w:val="5F5F5F"/>
                <w:sz w:val="18"/>
              </w:rPr>
              <w:t xml:space="preserve"> and durations will be developed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implemented.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This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plan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will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outline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notifications to be provided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marine users. Further detailed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on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this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plan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is outlined in Volume 3, Chapter 3 – Marine resource use and Volume 5, Chapter 2 – Environmental Management </w:t>
            </w:r>
            <w:r>
              <w:rPr>
                <w:color w:val="5F5F5F"/>
                <w:spacing w:val="-2"/>
                <w:sz w:val="18"/>
              </w:rPr>
              <w:t>Framework.</w:t>
            </w:r>
          </w:p>
        </w:tc>
      </w:tr>
      <w:tr w:rsidR="00792DF6" w14:paraId="7CE695B0" w14:textId="77777777">
        <w:trPr>
          <w:trHeight w:val="1674"/>
        </w:trPr>
        <w:tc>
          <w:tcPr>
            <w:tcW w:w="1843" w:type="dxa"/>
            <w:vMerge/>
            <w:tcBorders>
              <w:top w:val="nil"/>
            </w:tcBorders>
            <w:shd w:val="clear" w:color="auto" w:fill="D3E6F4"/>
          </w:tcPr>
          <w:p w14:paraId="3AB50DD9" w14:textId="77777777" w:rsidR="00792DF6" w:rsidRDefault="00792DF6">
            <w:pPr>
              <w:rPr>
                <w:sz w:val="2"/>
                <w:szCs w:val="2"/>
              </w:rPr>
            </w:pPr>
          </w:p>
        </w:tc>
        <w:tc>
          <w:tcPr>
            <w:tcW w:w="2503" w:type="dxa"/>
            <w:tcBorders>
              <w:top w:val="single" w:sz="4" w:space="0" w:color="18314A"/>
              <w:bottom w:val="single" w:sz="4" w:space="0" w:color="18314A"/>
            </w:tcBorders>
            <w:shd w:val="clear" w:color="auto" w:fill="D3E6F4"/>
          </w:tcPr>
          <w:p w14:paraId="4EE0FFD8" w14:textId="77777777" w:rsidR="00792DF6" w:rsidRDefault="00E00C11"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5F5F5F"/>
                <w:sz w:val="18"/>
              </w:rPr>
              <w:t>Guidance for fishing methods</w:t>
            </w:r>
            <w:r>
              <w:rPr>
                <w:color w:val="5F5F5F"/>
                <w:spacing w:val="-1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near</w:t>
            </w:r>
            <w:r>
              <w:rPr>
                <w:color w:val="5F5F5F"/>
                <w:spacing w:val="-1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1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subsea cable alignment.</w:t>
            </w:r>
          </w:p>
        </w:tc>
        <w:tc>
          <w:tcPr>
            <w:tcW w:w="5291" w:type="dxa"/>
            <w:tcBorders>
              <w:top w:val="single" w:sz="4" w:space="0" w:color="18314A"/>
              <w:bottom w:val="single" w:sz="4" w:space="0" w:color="18314A"/>
            </w:tcBorders>
            <w:shd w:val="clear" w:color="auto" w:fill="D3E6F4"/>
          </w:tcPr>
          <w:p w14:paraId="28C3DC49" w14:textId="77777777" w:rsidR="00792DF6" w:rsidRDefault="00E00C11">
            <w:pPr>
              <w:pStyle w:val="TableParagraph"/>
              <w:ind w:left="156" w:right="141"/>
              <w:rPr>
                <w:sz w:val="18"/>
              </w:rPr>
            </w:pPr>
            <w:r>
              <w:rPr>
                <w:color w:val="5F5F5F"/>
                <w:sz w:val="18"/>
              </w:rPr>
              <w:t>The final proposed subsea cable alignment was selected based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on a</w:t>
            </w:r>
            <w:r>
              <w:rPr>
                <w:color w:val="5F5F5F"/>
                <w:spacing w:val="-10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range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of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criteria,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including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avoidance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of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major fishing grounds to minimise impacts on the fishing industry. Engagement with key fishery stakeholders will continue to guide the ongoing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management of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fishing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activities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within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 location of the undersea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cable alignment, including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preferred fishing methods.</w:t>
            </w:r>
          </w:p>
        </w:tc>
      </w:tr>
      <w:tr w:rsidR="00792DF6" w14:paraId="182C3AB6" w14:textId="77777777">
        <w:trPr>
          <w:trHeight w:val="897"/>
        </w:trPr>
        <w:tc>
          <w:tcPr>
            <w:tcW w:w="1843" w:type="dxa"/>
            <w:vMerge/>
            <w:tcBorders>
              <w:top w:val="nil"/>
            </w:tcBorders>
            <w:shd w:val="clear" w:color="auto" w:fill="D3E6F4"/>
          </w:tcPr>
          <w:p w14:paraId="3509717B" w14:textId="77777777" w:rsidR="00792DF6" w:rsidRDefault="00792DF6">
            <w:pPr>
              <w:rPr>
                <w:sz w:val="2"/>
                <w:szCs w:val="2"/>
              </w:rPr>
            </w:pPr>
          </w:p>
        </w:tc>
        <w:tc>
          <w:tcPr>
            <w:tcW w:w="2503" w:type="dxa"/>
            <w:tcBorders>
              <w:top w:val="single" w:sz="4" w:space="0" w:color="18314A"/>
              <w:bottom w:val="single" w:sz="4" w:space="0" w:color="18314A"/>
            </w:tcBorders>
            <w:shd w:val="clear" w:color="auto" w:fill="D3E6F4"/>
          </w:tcPr>
          <w:p w14:paraId="46534EEE" w14:textId="77777777" w:rsidR="00792DF6" w:rsidRDefault="00E00C11">
            <w:pPr>
              <w:pStyle w:val="TableParagraph"/>
              <w:ind w:right="224"/>
              <w:jc w:val="both"/>
              <w:rPr>
                <w:sz w:val="18"/>
              </w:rPr>
            </w:pPr>
            <w:r>
              <w:rPr>
                <w:color w:val="5F5F5F"/>
                <w:sz w:val="18"/>
              </w:rPr>
              <w:t>Concern</w:t>
            </w:r>
            <w:r>
              <w:rPr>
                <w:color w:val="5F5F5F"/>
                <w:spacing w:val="-1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about</w:t>
            </w:r>
            <w:r>
              <w:rPr>
                <w:color w:val="5F5F5F"/>
                <w:spacing w:val="-1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disturbance of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10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seabed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impacting</w:t>
            </w:r>
            <w:r>
              <w:rPr>
                <w:color w:val="5F5F5F"/>
                <w:spacing w:val="-10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on marine water quality.</w:t>
            </w:r>
          </w:p>
        </w:tc>
        <w:tc>
          <w:tcPr>
            <w:tcW w:w="5291" w:type="dxa"/>
            <w:tcBorders>
              <w:top w:val="single" w:sz="4" w:space="0" w:color="18314A"/>
              <w:bottom w:val="single" w:sz="4" w:space="0" w:color="18314A"/>
            </w:tcBorders>
            <w:shd w:val="clear" w:color="auto" w:fill="D3E6F4"/>
          </w:tcPr>
          <w:p w14:paraId="0507D2BC" w14:textId="77777777" w:rsidR="00792DF6" w:rsidRDefault="00E00C11">
            <w:pPr>
              <w:pStyle w:val="TableParagraph"/>
              <w:ind w:left="156"/>
              <w:rPr>
                <w:sz w:val="18"/>
              </w:rPr>
            </w:pP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proposed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construction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methodology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for laying</w:t>
            </w:r>
            <w:r>
              <w:rPr>
                <w:color w:val="5F5F5F"/>
                <w:spacing w:val="-1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subsea cable alignment is expected to cause minimal physical disturbance to the seabed.</w:t>
            </w:r>
          </w:p>
        </w:tc>
      </w:tr>
      <w:tr w:rsidR="00792DF6" w14:paraId="26F2149D" w14:textId="77777777">
        <w:trPr>
          <w:trHeight w:val="1473"/>
        </w:trPr>
        <w:tc>
          <w:tcPr>
            <w:tcW w:w="1843" w:type="dxa"/>
            <w:vMerge/>
            <w:tcBorders>
              <w:top w:val="nil"/>
            </w:tcBorders>
            <w:shd w:val="clear" w:color="auto" w:fill="D3E6F4"/>
          </w:tcPr>
          <w:p w14:paraId="73D5055F" w14:textId="77777777" w:rsidR="00792DF6" w:rsidRDefault="00792DF6">
            <w:pPr>
              <w:rPr>
                <w:sz w:val="2"/>
                <w:szCs w:val="2"/>
              </w:rPr>
            </w:pPr>
          </w:p>
        </w:tc>
        <w:tc>
          <w:tcPr>
            <w:tcW w:w="7794" w:type="dxa"/>
            <w:gridSpan w:val="2"/>
            <w:tcBorders>
              <w:top w:val="single" w:sz="4" w:space="0" w:color="18314A"/>
            </w:tcBorders>
            <w:shd w:val="clear" w:color="auto" w:fill="D3E6F4"/>
          </w:tcPr>
          <w:p w14:paraId="4E3C02A0" w14:textId="77777777" w:rsidR="00792DF6" w:rsidRDefault="00E00C11">
            <w:pPr>
              <w:pStyle w:val="TableParagraph"/>
              <w:tabs>
                <w:tab w:val="left" w:pos="2659"/>
              </w:tabs>
              <w:ind w:right="109"/>
              <w:rPr>
                <w:sz w:val="18"/>
              </w:rPr>
            </w:pPr>
            <w:r>
              <w:rPr>
                <w:color w:val="5F5F5F"/>
                <w:sz w:val="18"/>
              </w:rPr>
              <w:t>Concerns around loss of</w:t>
            </w:r>
            <w:r>
              <w:rPr>
                <w:color w:val="5F5F5F"/>
                <w:sz w:val="18"/>
              </w:rPr>
              <w:tab/>
              <w:t>MLPL presented to SETFIA and its members about possible fishing ground and exclusion</w:t>
            </w:r>
            <w:r>
              <w:rPr>
                <w:color w:val="5F5F5F"/>
                <w:sz w:val="18"/>
              </w:rPr>
              <w:tab/>
              <w:t>project impacts. Continued engagement will be ongoing and zones during the cable laying</w:t>
            </w:r>
            <w:r>
              <w:rPr>
                <w:color w:val="5F5F5F"/>
                <w:sz w:val="18"/>
              </w:rPr>
              <w:tab/>
              <w:t xml:space="preserve">will consider equipment or infrastructure upgrades for fishers, </w:t>
            </w:r>
            <w:r>
              <w:rPr>
                <w:color w:val="5F5F5F"/>
                <w:spacing w:val="-2"/>
                <w:sz w:val="18"/>
              </w:rPr>
              <w:t>process.</w:t>
            </w:r>
            <w:r>
              <w:rPr>
                <w:color w:val="5F5F5F"/>
                <w:sz w:val="18"/>
              </w:rPr>
              <w:tab/>
              <w:t>opportunities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for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fishing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vessels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be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used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during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construction,</w:t>
            </w:r>
          </w:p>
          <w:p w14:paraId="6F3D8A5D" w14:textId="77777777" w:rsidR="00792DF6" w:rsidRDefault="00E00C11">
            <w:pPr>
              <w:pStyle w:val="TableParagraph"/>
              <w:spacing w:before="2"/>
              <w:ind w:left="2659" w:right="109"/>
              <w:rPr>
                <w:sz w:val="18"/>
              </w:rPr>
            </w:pPr>
            <w:r>
              <w:rPr>
                <w:color w:val="5F5F5F"/>
                <w:sz w:val="18"/>
              </w:rPr>
              <w:t>along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with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guidelines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on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fishing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near cables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how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 approach potential snagging or striking incidents.</w:t>
            </w:r>
          </w:p>
        </w:tc>
      </w:tr>
      <w:tr w:rsidR="00792DF6" w14:paraId="1ADF3CB1" w14:textId="77777777">
        <w:trPr>
          <w:trHeight w:val="1353"/>
        </w:trPr>
        <w:tc>
          <w:tcPr>
            <w:tcW w:w="1843" w:type="dxa"/>
          </w:tcPr>
          <w:p w14:paraId="300D8435" w14:textId="77777777" w:rsidR="00792DF6" w:rsidRDefault="00E00C11">
            <w:pPr>
              <w:pStyle w:val="TableParagraph"/>
              <w:spacing w:before="109"/>
              <w:rPr>
                <w:sz w:val="18"/>
              </w:rPr>
            </w:pPr>
            <w:r>
              <w:rPr>
                <w:color w:val="5F5F5F"/>
                <w:sz w:val="18"/>
              </w:rPr>
              <w:t>Maritime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pacing w:val="-2"/>
                <w:sz w:val="18"/>
              </w:rPr>
              <w:t>safety</w:t>
            </w:r>
          </w:p>
        </w:tc>
        <w:tc>
          <w:tcPr>
            <w:tcW w:w="2503" w:type="dxa"/>
          </w:tcPr>
          <w:p w14:paraId="1195AF70" w14:textId="77777777" w:rsidR="00792DF6" w:rsidRDefault="00E00C11">
            <w:pPr>
              <w:pStyle w:val="TableParagraph"/>
              <w:spacing w:before="109"/>
              <w:rPr>
                <w:sz w:val="18"/>
              </w:rPr>
            </w:pPr>
            <w:r>
              <w:rPr>
                <w:color w:val="5F5F5F"/>
                <w:sz w:val="18"/>
              </w:rPr>
              <w:t>Concerns relating to navigation</w:t>
            </w:r>
            <w:r>
              <w:rPr>
                <w:color w:val="5F5F5F"/>
                <w:spacing w:val="-1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safety</w:t>
            </w:r>
            <w:r>
              <w:rPr>
                <w:color w:val="5F5F5F"/>
                <w:spacing w:val="-1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during </w:t>
            </w:r>
            <w:r>
              <w:rPr>
                <w:color w:val="5F5F5F"/>
                <w:spacing w:val="-2"/>
                <w:sz w:val="18"/>
              </w:rPr>
              <w:t>construction.</w:t>
            </w:r>
          </w:p>
        </w:tc>
        <w:tc>
          <w:tcPr>
            <w:tcW w:w="5291" w:type="dxa"/>
          </w:tcPr>
          <w:p w14:paraId="3678086C" w14:textId="77777777" w:rsidR="00792DF6" w:rsidRDefault="00E00C11">
            <w:pPr>
              <w:pStyle w:val="TableParagraph"/>
              <w:spacing w:before="109"/>
              <w:ind w:left="156" w:right="141"/>
              <w:rPr>
                <w:sz w:val="18"/>
              </w:rPr>
            </w:pPr>
            <w:r>
              <w:rPr>
                <w:color w:val="5F5F5F"/>
                <w:sz w:val="18"/>
              </w:rPr>
              <w:t>The proposed subsea cable alignment avoids key fishing grounds,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scallop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farms,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shipping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routes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anchorage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points. MLPL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will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provide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advance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notice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of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any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construction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activities to marine users. MLPL will explore opportunities to engage local vessels to support construction activities, like </w:t>
            </w:r>
            <w:proofErr w:type="gramStart"/>
            <w:r>
              <w:rPr>
                <w:color w:val="5F5F5F"/>
                <w:sz w:val="18"/>
              </w:rPr>
              <w:t>guarding</w:t>
            </w:r>
            <w:proofErr w:type="gramEnd"/>
          </w:p>
          <w:p w14:paraId="35E7DB92" w14:textId="77777777" w:rsidR="00792DF6" w:rsidRDefault="00E00C11">
            <w:pPr>
              <w:pStyle w:val="TableParagraph"/>
              <w:spacing w:before="2" w:line="187" w:lineRule="exact"/>
              <w:ind w:left="156"/>
              <w:rPr>
                <w:sz w:val="18"/>
              </w:rPr>
            </w:pPr>
            <w:r>
              <w:rPr>
                <w:color w:val="5F5F5F"/>
                <w:spacing w:val="-2"/>
                <w:sz w:val="18"/>
              </w:rPr>
              <w:t>activities.</w:t>
            </w:r>
          </w:p>
        </w:tc>
      </w:tr>
    </w:tbl>
    <w:p w14:paraId="0128252D" w14:textId="77777777" w:rsidR="00792DF6" w:rsidRDefault="00792DF6">
      <w:pPr>
        <w:spacing w:line="187" w:lineRule="exact"/>
        <w:rPr>
          <w:sz w:val="18"/>
        </w:rPr>
        <w:sectPr w:rsidR="00792DF6">
          <w:pgSz w:w="11910" w:h="16840"/>
          <w:pgMar w:top="1500" w:right="1020" w:bottom="800" w:left="1020" w:header="467" w:footer="612" w:gutter="0"/>
          <w:cols w:space="720"/>
        </w:sectPr>
      </w:pPr>
    </w:p>
    <w:p w14:paraId="7C26DEC6" w14:textId="77777777" w:rsidR="00792DF6" w:rsidRDefault="00792DF6">
      <w:pPr>
        <w:pStyle w:val="BodyText"/>
        <w:spacing w:before="1" w:after="1"/>
        <w:rPr>
          <w:rFonts w:ascii="Century Gothic"/>
          <w:sz w:val="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5"/>
        <w:gridCol w:w="2531"/>
        <w:gridCol w:w="5291"/>
      </w:tblGrid>
      <w:tr w:rsidR="00792DF6" w14:paraId="1DA78712" w14:textId="77777777">
        <w:trPr>
          <w:trHeight w:val="475"/>
        </w:trPr>
        <w:tc>
          <w:tcPr>
            <w:tcW w:w="1815" w:type="dxa"/>
            <w:shd w:val="clear" w:color="auto" w:fill="133149"/>
          </w:tcPr>
          <w:p w14:paraId="7A3D514E" w14:textId="77777777" w:rsidR="00792DF6" w:rsidRDefault="00E00C11">
            <w:pPr>
              <w:pStyle w:val="TableParagraph"/>
              <w:spacing w:before="133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Theme</w:t>
            </w:r>
          </w:p>
        </w:tc>
        <w:tc>
          <w:tcPr>
            <w:tcW w:w="2531" w:type="dxa"/>
            <w:shd w:val="clear" w:color="auto" w:fill="133149"/>
          </w:tcPr>
          <w:p w14:paraId="1D6520FD" w14:textId="77777777" w:rsidR="00792DF6" w:rsidRDefault="00E00C11">
            <w:pPr>
              <w:pStyle w:val="TableParagraph"/>
              <w:spacing w:before="133"/>
              <w:ind w:left="13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Issues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raised</w:t>
            </w:r>
          </w:p>
        </w:tc>
        <w:tc>
          <w:tcPr>
            <w:tcW w:w="5291" w:type="dxa"/>
            <w:shd w:val="clear" w:color="auto" w:fill="133149"/>
          </w:tcPr>
          <w:p w14:paraId="4BAF42EE" w14:textId="77777777" w:rsidR="00792DF6" w:rsidRDefault="00E00C11">
            <w:pPr>
              <w:pStyle w:val="TableParagraph"/>
              <w:spacing w:before="133"/>
              <w:ind w:left="156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MLPL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response</w:t>
            </w:r>
          </w:p>
        </w:tc>
      </w:tr>
      <w:tr w:rsidR="00792DF6" w14:paraId="6985D4BB" w14:textId="77777777">
        <w:trPr>
          <w:trHeight w:val="1046"/>
        </w:trPr>
        <w:tc>
          <w:tcPr>
            <w:tcW w:w="1815" w:type="dxa"/>
            <w:shd w:val="clear" w:color="auto" w:fill="D3E6F4"/>
          </w:tcPr>
          <w:p w14:paraId="3EF57284" w14:textId="77777777" w:rsidR="00792DF6" w:rsidRDefault="00E00C11"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5F5F5F"/>
                <w:sz w:val="18"/>
              </w:rPr>
              <w:t>Third</w:t>
            </w:r>
            <w:r>
              <w:rPr>
                <w:color w:val="5F5F5F"/>
                <w:spacing w:val="-1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party</w:t>
            </w:r>
            <w:r>
              <w:rPr>
                <w:color w:val="5F5F5F"/>
                <w:spacing w:val="-1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asset owners in Bass </w:t>
            </w:r>
            <w:r>
              <w:rPr>
                <w:color w:val="5F5F5F"/>
                <w:spacing w:val="-2"/>
                <w:sz w:val="18"/>
              </w:rPr>
              <w:t>strait</w:t>
            </w:r>
          </w:p>
        </w:tc>
        <w:tc>
          <w:tcPr>
            <w:tcW w:w="2531" w:type="dxa"/>
            <w:shd w:val="clear" w:color="auto" w:fill="D3E6F4"/>
          </w:tcPr>
          <w:p w14:paraId="6936F589" w14:textId="77777777" w:rsidR="00792DF6" w:rsidRDefault="00E00C11">
            <w:pPr>
              <w:pStyle w:val="TableParagraph"/>
              <w:ind w:left="138" w:right="61"/>
              <w:rPr>
                <w:sz w:val="18"/>
              </w:rPr>
            </w:pPr>
            <w:r>
              <w:rPr>
                <w:color w:val="5F5F5F"/>
                <w:sz w:val="18"/>
              </w:rPr>
              <w:t>Requirement to protect assets</w:t>
            </w:r>
            <w:r>
              <w:rPr>
                <w:color w:val="5F5F5F"/>
                <w:spacing w:val="-1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from</w:t>
            </w:r>
            <w:r>
              <w:rPr>
                <w:color w:val="5F5F5F"/>
                <w:spacing w:val="-10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damage</w:t>
            </w:r>
            <w:r>
              <w:rPr>
                <w:color w:val="5F5F5F"/>
                <w:spacing w:val="-1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during construction and operation</w:t>
            </w:r>
          </w:p>
        </w:tc>
        <w:tc>
          <w:tcPr>
            <w:tcW w:w="5291" w:type="dxa"/>
            <w:shd w:val="clear" w:color="auto" w:fill="D3E6F4"/>
          </w:tcPr>
          <w:p w14:paraId="7C7682D3" w14:textId="77777777" w:rsidR="00792DF6" w:rsidRDefault="00E00C11">
            <w:pPr>
              <w:pStyle w:val="TableParagraph"/>
              <w:ind w:left="156"/>
              <w:rPr>
                <w:sz w:val="18"/>
              </w:rPr>
            </w:pPr>
            <w:r>
              <w:rPr>
                <w:color w:val="5F5F5F"/>
                <w:sz w:val="18"/>
              </w:rPr>
              <w:t>Ongoing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engagement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collaboration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with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directly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impacted asset owners to establish cable crossing agreements.</w:t>
            </w:r>
          </w:p>
        </w:tc>
      </w:tr>
      <w:tr w:rsidR="00792DF6" w14:paraId="4B682BE5" w14:textId="77777777">
        <w:trPr>
          <w:trHeight w:val="1560"/>
        </w:trPr>
        <w:tc>
          <w:tcPr>
            <w:tcW w:w="1815" w:type="dxa"/>
          </w:tcPr>
          <w:p w14:paraId="4E3F0258" w14:textId="77777777" w:rsidR="00792DF6" w:rsidRDefault="00E00C11">
            <w:pPr>
              <w:pStyle w:val="TableParagraph"/>
              <w:spacing w:before="109" w:line="244" w:lineRule="auto"/>
              <w:rPr>
                <w:sz w:val="18"/>
              </w:rPr>
            </w:pPr>
            <w:r>
              <w:rPr>
                <w:color w:val="5F5F5F"/>
                <w:sz w:val="18"/>
              </w:rPr>
              <w:t>Underwater</w:t>
            </w:r>
            <w:r>
              <w:rPr>
                <w:color w:val="5F5F5F"/>
                <w:spacing w:val="-1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cultural </w:t>
            </w:r>
            <w:r>
              <w:rPr>
                <w:color w:val="5F5F5F"/>
                <w:spacing w:val="-2"/>
                <w:sz w:val="18"/>
              </w:rPr>
              <w:t>heritage</w:t>
            </w:r>
          </w:p>
        </w:tc>
        <w:tc>
          <w:tcPr>
            <w:tcW w:w="2531" w:type="dxa"/>
          </w:tcPr>
          <w:p w14:paraId="6249BFD6" w14:textId="77777777" w:rsidR="00792DF6" w:rsidRDefault="00E00C11">
            <w:pPr>
              <w:pStyle w:val="TableParagraph"/>
              <w:spacing w:before="109" w:line="244" w:lineRule="auto"/>
              <w:ind w:left="138"/>
              <w:rPr>
                <w:sz w:val="18"/>
              </w:rPr>
            </w:pPr>
            <w:r>
              <w:rPr>
                <w:color w:val="5F5F5F"/>
                <w:sz w:val="18"/>
              </w:rPr>
              <w:t>Potential impacts to underwater</w:t>
            </w:r>
            <w:r>
              <w:rPr>
                <w:color w:val="5F5F5F"/>
                <w:spacing w:val="-1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cultural</w:t>
            </w:r>
            <w:r>
              <w:rPr>
                <w:color w:val="5F5F5F"/>
                <w:spacing w:val="-1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heritage</w:t>
            </w:r>
          </w:p>
        </w:tc>
        <w:tc>
          <w:tcPr>
            <w:tcW w:w="5291" w:type="dxa"/>
          </w:tcPr>
          <w:p w14:paraId="425154BA" w14:textId="77777777" w:rsidR="00792DF6" w:rsidRDefault="00E00C11">
            <w:pPr>
              <w:pStyle w:val="TableParagraph"/>
              <w:spacing w:before="109"/>
              <w:ind w:left="156"/>
              <w:rPr>
                <w:sz w:val="18"/>
              </w:rPr>
            </w:pPr>
            <w:r>
              <w:rPr>
                <w:color w:val="5F5F5F"/>
                <w:sz w:val="18"/>
              </w:rPr>
              <w:t>MLPL is progressing Cultural Values Assessments in consultation with First Peoples and has also completed underwater cultural heritage and submerged landscapes assessments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support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EIS/EES.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MLPL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is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committed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 ongoing engagement with First Peoples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in Tasmania and in</w:t>
            </w:r>
          </w:p>
          <w:p w14:paraId="452C3132" w14:textId="77777777" w:rsidR="00792DF6" w:rsidRDefault="00E00C11">
            <w:pPr>
              <w:pStyle w:val="TableParagraph"/>
              <w:spacing w:before="0" w:line="206" w:lineRule="exact"/>
              <w:ind w:left="156" w:hanging="1"/>
              <w:rPr>
                <w:sz w:val="18"/>
              </w:rPr>
            </w:pPr>
            <w:r>
              <w:rPr>
                <w:color w:val="5F5F5F"/>
                <w:sz w:val="18"/>
              </w:rPr>
              <w:t>Victoria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through</w:t>
            </w:r>
            <w:r>
              <w:rPr>
                <w:color w:val="5F5F5F"/>
                <w:spacing w:val="-1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First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People’s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Advisory</w:t>
            </w:r>
            <w:r>
              <w:rPr>
                <w:color w:val="5F5F5F"/>
                <w:spacing w:val="-1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Group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other direct engagement in Tasmania.</w:t>
            </w:r>
          </w:p>
        </w:tc>
      </w:tr>
    </w:tbl>
    <w:p w14:paraId="7668DD22" w14:textId="77777777" w:rsidR="00792DF6" w:rsidRDefault="00792DF6">
      <w:pPr>
        <w:pStyle w:val="BodyText"/>
        <w:spacing w:before="55"/>
        <w:rPr>
          <w:rFonts w:ascii="Century Gothic"/>
          <w:sz w:val="44"/>
        </w:rPr>
      </w:pPr>
    </w:p>
    <w:p w14:paraId="2FF8659A" w14:textId="77777777" w:rsidR="00792DF6" w:rsidRDefault="00E00C11">
      <w:pPr>
        <w:pStyle w:val="Heading1"/>
        <w:numPr>
          <w:ilvl w:val="1"/>
          <w:numId w:val="5"/>
        </w:numPr>
        <w:tabs>
          <w:tab w:val="left" w:pos="960"/>
        </w:tabs>
        <w:ind w:left="960" w:hanging="848"/>
        <w:jc w:val="left"/>
      </w:pPr>
      <w:bookmarkStart w:id="6" w:name="1.3_Structure_of_the_EIS/EES"/>
      <w:bookmarkEnd w:id="6"/>
      <w:r>
        <w:rPr>
          <w:color w:val="18314A"/>
        </w:rPr>
        <w:t>Structure</w:t>
      </w:r>
      <w:r>
        <w:rPr>
          <w:color w:val="18314A"/>
          <w:spacing w:val="-4"/>
        </w:rPr>
        <w:t xml:space="preserve"> </w:t>
      </w:r>
      <w:r>
        <w:rPr>
          <w:color w:val="18314A"/>
        </w:rPr>
        <w:t>of</w:t>
      </w:r>
      <w:r>
        <w:rPr>
          <w:color w:val="18314A"/>
          <w:spacing w:val="-3"/>
        </w:rPr>
        <w:t xml:space="preserve"> </w:t>
      </w:r>
      <w:r>
        <w:rPr>
          <w:color w:val="18314A"/>
        </w:rPr>
        <w:t>the</w:t>
      </w:r>
      <w:r>
        <w:rPr>
          <w:color w:val="18314A"/>
          <w:spacing w:val="-3"/>
        </w:rPr>
        <w:t xml:space="preserve"> </w:t>
      </w:r>
      <w:r>
        <w:rPr>
          <w:color w:val="18314A"/>
          <w:spacing w:val="-2"/>
        </w:rPr>
        <w:t>EIS/EES</w:t>
      </w:r>
    </w:p>
    <w:p w14:paraId="675E8F59" w14:textId="77777777" w:rsidR="00792DF6" w:rsidRDefault="00E00C11">
      <w:pPr>
        <w:pStyle w:val="BodyText"/>
        <w:spacing w:before="359"/>
        <w:ind w:left="112"/>
      </w:pPr>
      <w:r>
        <w:rPr>
          <w:color w:val="585858"/>
        </w:rPr>
        <w:t>The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EIS/EES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consists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five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2"/>
        </w:rPr>
        <w:t>volumes:</w:t>
      </w:r>
    </w:p>
    <w:p w14:paraId="31AE3155" w14:textId="77777777" w:rsidR="00792DF6" w:rsidRDefault="00792DF6">
      <w:pPr>
        <w:pStyle w:val="BodyText"/>
        <w:spacing w:before="5"/>
      </w:pPr>
    </w:p>
    <w:p w14:paraId="02A76838" w14:textId="77777777" w:rsidR="00792DF6" w:rsidRDefault="00E00C11">
      <w:pPr>
        <w:pStyle w:val="BodyText"/>
        <w:spacing w:line="360" w:lineRule="auto"/>
        <w:ind w:left="472" w:right="217" w:hanging="360"/>
      </w:pPr>
      <w:r>
        <w:rPr>
          <w:noProof/>
        </w:rPr>
        <w:drawing>
          <wp:inline distT="0" distB="0" distL="0" distR="0" wp14:anchorId="57DE870B" wp14:editId="0EEF8F69">
            <wp:extent cx="106679" cy="106679"/>
            <wp:effectExtent l="0" t="0" r="0" b="0"/>
            <wp:docPr id="167" name="Image 167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 descr="*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b/>
          <w:color w:val="5F5F5F"/>
        </w:rPr>
        <w:t xml:space="preserve">Volume 1 – Introduction </w:t>
      </w:r>
      <w:r>
        <w:rPr>
          <w:color w:val="5F5F5F"/>
        </w:rPr>
        <w:t>provides an introduction with common information on the project, and technical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information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that spans</w:t>
      </w:r>
      <w:r>
        <w:rPr>
          <w:color w:val="5F5F5F"/>
          <w:spacing w:val="-6"/>
        </w:rPr>
        <w:t xml:space="preserve"> </w:t>
      </w:r>
      <w:r>
        <w:rPr>
          <w:color w:val="5F5F5F"/>
        </w:rPr>
        <w:t>the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whole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of project</w:t>
      </w:r>
      <w:r>
        <w:rPr>
          <w:color w:val="5F5F5F"/>
          <w:spacing w:val="-5"/>
        </w:rPr>
        <w:t xml:space="preserve"> </w:t>
      </w:r>
      <w:r>
        <w:rPr>
          <w:color w:val="5F5F5F"/>
        </w:rPr>
        <w:t>or</w:t>
      </w:r>
      <w:r>
        <w:rPr>
          <w:color w:val="5F5F5F"/>
          <w:spacing w:val="-6"/>
        </w:rPr>
        <w:t xml:space="preserve"> </w:t>
      </w:r>
      <w:r>
        <w:rPr>
          <w:color w:val="5F5F5F"/>
        </w:rPr>
        <w:t>assessments</w:t>
      </w:r>
      <w:r>
        <w:rPr>
          <w:color w:val="5F5F5F"/>
          <w:spacing w:val="-6"/>
        </w:rPr>
        <w:t xml:space="preserve"> </w:t>
      </w:r>
      <w:r>
        <w:rPr>
          <w:color w:val="5F5F5F"/>
        </w:rPr>
        <w:t>that are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not locationally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based.</w:t>
      </w:r>
    </w:p>
    <w:p w14:paraId="6B55D3C1" w14:textId="77777777" w:rsidR="00792DF6" w:rsidRDefault="00E00C11">
      <w:pPr>
        <w:spacing w:before="122" w:line="360" w:lineRule="auto"/>
        <w:ind w:left="472" w:right="273" w:hanging="360"/>
        <w:rPr>
          <w:sz w:val="20"/>
        </w:rPr>
      </w:pPr>
      <w:r>
        <w:rPr>
          <w:noProof/>
        </w:rPr>
        <w:drawing>
          <wp:inline distT="0" distB="0" distL="0" distR="0" wp14:anchorId="175D5D87" wp14:editId="73D9C83A">
            <wp:extent cx="106679" cy="106679"/>
            <wp:effectExtent l="0" t="0" r="0" b="0"/>
            <wp:docPr id="168" name="Image 168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 descr="*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b/>
          <w:color w:val="5F5F5F"/>
          <w:sz w:val="20"/>
        </w:rPr>
        <w:t>Volume</w:t>
      </w:r>
      <w:r>
        <w:rPr>
          <w:b/>
          <w:color w:val="5F5F5F"/>
          <w:spacing w:val="-3"/>
          <w:sz w:val="20"/>
        </w:rPr>
        <w:t xml:space="preserve"> </w:t>
      </w:r>
      <w:r>
        <w:rPr>
          <w:b/>
          <w:color w:val="5F5F5F"/>
          <w:sz w:val="20"/>
        </w:rPr>
        <w:t>2</w:t>
      </w:r>
      <w:r>
        <w:rPr>
          <w:b/>
          <w:color w:val="5F5F5F"/>
          <w:spacing w:val="-3"/>
          <w:sz w:val="20"/>
        </w:rPr>
        <w:t xml:space="preserve"> </w:t>
      </w:r>
      <w:r>
        <w:rPr>
          <w:b/>
          <w:color w:val="5F5F5F"/>
          <w:sz w:val="20"/>
        </w:rPr>
        <w:t>–</w:t>
      </w:r>
      <w:r>
        <w:rPr>
          <w:b/>
          <w:color w:val="5F5F5F"/>
          <w:spacing w:val="-8"/>
          <w:sz w:val="20"/>
        </w:rPr>
        <w:t xml:space="preserve"> </w:t>
      </w:r>
      <w:r>
        <w:rPr>
          <w:b/>
          <w:color w:val="5F5F5F"/>
          <w:sz w:val="20"/>
        </w:rPr>
        <w:t>Tasmanian terrestrial environment</w:t>
      </w:r>
      <w:r>
        <w:rPr>
          <w:b/>
          <w:color w:val="5F5F5F"/>
          <w:spacing w:val="-6"/>
          <w:sz w:val="20"/>
        </w:rPr>
        <w:t xml:space="preserve"> </w:t>
      </w:r>
      <w:r>
        <w:rPr>
          <w:color w:val="5F5F5F"/>
          <w:sz w:val="20"/>
        </w:rPr>
        <w:t>describes</w:t>
      </w:r>
      <w:r>
        <w:rPr>
          <w:color w:val="5F5F5F"/>
          <w:spacing w:val="-1"/>
          <w:sz w:val="20"/>
        </w:rPr>
        <w:t xml:space="preserve"> </w:t>
      </w:r>
      <w:r>
        <w:rPr>
          <w:color w:val="5F5F5F"/>
          <w:sz w:val="20"/>
        </w:rPr>
        <w:t>the</w:t>
      </w:r>
      <w:r>
        <w:rPr>
          <w:color w:val="5F5F5F"/>
          <w:spacing w:val="-3"/>
          <w:sz w:val="20"/>
        </w:rPr>
        <w:t xml:space="preserve"> </w:t>
      </w:r>
      <w:r>
        <w:rPr>
          <w:color w:val="5F5F5F"/>
          <w:sz w:val="20"/>
        </w:rPr>
        <w:t>existing</w:t>
      </w:r>
      <w:r>
        <w:rPr>
          <w:color w:val="5F5F5F"/>
          <w:spacing w:val="-3"/>
          <w:sz w:val="20"/>
        </w:rPr>
        <w:t xml:space="preserve"> </w:t>
      </w:r>
      <w:r>
        <w:rPr>
          <w:color w:val="5F5F5F"/>
          <w:sz w:val="20"/>
        </w:rPr>
        <w:t>conditions, impact</w:t>
      </w:r>
      <w:r>
        <w:rPr>
          <w:color w:val="5F5F5F"/>
          <w:spacing w:val="-5"/>
          <w:sz w:val="20"/>
        </w:rPr>
        <w:t xml:space="preserve"> </w:t>
      </w:r>
      <w:r>
        <w:rPr>
          <w:color w:val="5F5F5F"/>
          <w:sz w:val="20"/>
        </w:rPr>
        <w:t xml:space="preserve">assessment and environmental performance requirements (EPRs) for the Tasmanian terrestrial component of the project. This volume considers matters of national environmental significance (MNES) and matters considered by the </w:t>
      </w:r>
      <w:proofErr w:type="gramStart"/>
      <w:r>
        <w:rPr>
          <w:color w:val="5F5F5F"/>
          <w:sz w:val="20"/>
        </w:rPr>
        <w:t>Commonwealth Minister</w:t>
      </w:r>
      <w:proofErr w:type="gramEnd"/>
      <w:r>
        <w:rPr>
          <w:color w:val="5F5F5F"/>
          <w:sz w:val="20"/>
        </w:rPr>
        <w:t xml:space="preserve"> for the Environment and Water when making a decision under the </w:t>
      </w:r>
      <w:r>
        <w:rPr>
          <w:i/>
          <w:color w:val="5F5F5F"/>
          <w:sz w:val="20"/>
        </w:rPr>
        <w:t xml:space="preserve">Environment Protection and Biodiversity Act 1999 </w:t>
      </w:r>
      <w:r>
        <w:rPr>
          <w:color w:val="5F5F5F"/>
          <w:sz w:val="20"/>
        </w:rPr>
        <w:t>(Cwlth) (EPBC Act) only.</w:t>
      </w:r>
    </w:p>
    <w:p w14:paraId="56A981C9" w14:textId="77777777" w:rsidR="00792DF6" w:rsidRDefault="00E00C11">
      <w:pPr>
        <w:pStyle w:val="BodyText"/>
        <w:spacing w:before="118" w:line="360" w:lineRule="auto"/>
        <w:ind w:left="472" w:right="217" w:hanging="360"/>
      </w:pPr>
      <w:r>
        <w:rPr>
          <w:noProof/>
        </w:rPr>
        <w:drawing>
          <wp:inline distT="0" distB="0" distL="0" distR="0" wp14:anchorId="04E33E27" wp14:editId="1CD412FF">
            <wp:extent cx="106679" cy="106679"/>
            <wp:effectExtent l="0" t="0" r="0" b="0"/>
            <wp:docPr id="169" name="Image 169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 descr="*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b/>
          <w:color w:val="5F5F5F"/>
        </w:rPr>
        <w:t>Volume</w:t>
      </w:r>
      <w:r>
        <w:rPr>
          <w:b/>
          <w:color w:val="5F5F5F"/>
          <w:spacing w:val="-3"/>
        </w:rPr>
        <w:t xml:space="preserve"> </w:t>
      </w:r>
      <w:r>
        <w:rPr>
          <w:b/>
          <w:color w:val="5F5F5F"/>
        </w:rPr>
        <w:t>3</w:t>
      </w:r>
      <w:r>
        <w:rPr>
          <w:b/>
          <w:color w:val="5F5F5F"/>
          <w:spacing w:val="-3"/>
        </w:rPr>
        <w:t xml:space="preserve"> </w:t>
      </w:r>
      <w:r>
        <w:rPr>
          <w:b/>
          <w:color w:val="5F5F5F"/>
        </w:rPr>
        <w:t>–</w:t>
      </w:r>
      <w:r>
        <w:rPr>
          <w:b/>
          <w:color w:val="5F5F5F"/>
          <w:spacing w:val="-8"/>
        </w:rPr>
        <w:t xml:space="preserve"> </w:t>
      </w:r>
      <w:r>
        <w:rPr>
          <w:b/>
          <w:color w:val="5F5F5F"/>
        </w:rPr>
        <w:t>Marine</w:t>
      </w:r>
      <w:r>
        <w:rPr>
          <w:b/>
          <w:color w:val="5F5F5F"/>
          <w:spacing w:val="-8"/>
        </w:rPr>
        <w:t xml:space="preserve"> </w:t>
      </w:r>
      <w:r>
        <w:rPr>
          <w:b/>
          <w:color w:val="5F5F5F"/>
        </w:rPr>
        <w:t>environment</w:t>
      </w:r>
      <w:r>
        <w:rPr>
          <w:b/>
          <w:color w:val="5F5F5F"/>
          <w:spacing w:val="-1"/>
        </w:rPr>
        <w:t xml:space="preserve"> </w:t>
      </w:r>
      <w:r>
        <w:rPr>
          <w:color w:val="5F5F5F"/>
        </w:rPr>
        <w:t>(this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volume)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describes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the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existing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conditions, impact assessment and EPRs for the marine (nearshore and offshore) component of the project.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 xml:space="preserve">This volume addresses matters in the Commonwealth marine area, Victorian coastal </w:t>
      </w:r>
      <w:proofErr w:type="gramStart"/>
      <w:r>
        <w:rPr>
          <w:color w:val="5F5F5F"/>
        </w:rPr>
        <w:t>waters</w:t>
      </w:r>
      <w:proofErr w:type="gramEnd"/>
      <w:r>
        <w:rPr>
          <w:color w:val="5F5F5F"/>
        </w:rPr>
        <w:t xml:space="preserve"> and Tasmanian coastal waters (MNES only).</w:t>
      </w:r>
    </w:p>
    <w:p w14:paraId="3FE4D15D" w14:textId="77777777" w:rsidR="00792DF6" w:rsidRDefault="00E00C11">
      <w:pPr>
        <w:pStyle w:val="BodyText"/>
        <w:spacing w:before="123" w:line="357" w:lineRule="auto"/>
        <w:ind w:left="472" w:right="217" w:hanging="360"/>
      </w:pPr>
      <w:r>
        <w:rPr>
          <w:noProof/>
        </w:rPr>
        <w:drawing>
          <wp:inline distT="0" distB="0" distL="0" distR="0" wp14:anchorId="0EE9764A" wp14:editId="2D6BAA75">
            <wp:extent cx="106679" cy="106679"/>
            <wp:effectExtent l="0" t="0" r="0" b="0"/>
            <wp:docPr id="170" name="Image 170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 descr="*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b/>
          <w:color w:val="5F5F5F"/>
        </w:rPr>
        <w:t xml:space="preserve">Volume 4 – Victorian terrestrial environment </w:t>
      </w:r>
      <w:r>
        <w:rPr>
          <w:color w:val="5F5F5F"/>
        </w:rPr>
        <w:t>describes the existing conditions, impact assessment and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EPRs for</w:t>
      </w:r>
      <w:r>
        <w:rPr>
          <w:color w:val="5F5F5F"/>
          <w:spacing w:val="-5"/>
        </w:rPr>
        <w:t xml:space="preserve"> </w:t>
      </w:r>
      <w:r>
        <w:rPr>
          <w:color w:val="5F5F5F"/>
        </w:rPr>
        <w:t>the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Victorian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terrestrial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component of</w:t>
      </w:r>
      <w:r>
        <w:rPr>
          <w:color w:val="5F5F5F"/>
          <w:spacing w:val="-4"/>
        </w:rPr>
        <w:t xml:space="preserve"> </w:t>
      </w:r>
      <w:r>
        <w:rPr>
          <w:color w:val="5F5F5F"/>
        </w:rPr>
        <w:t>the</w:t>
      </w:r>
      <w:r>
        <w:rPr>
          <w:color w:val="5F5F5F"/>
          <w:spacing w:val="-7"/>
        </w:rPr>
        <w:t xml:space="preserve"> </w:t>
      </w:r>
      <w:r>
        <w:rPr>
          <w:color w:val="5F5F5F"/>
        </w:rPr>
        <w:t>project.</w:t>
      </w:r>
      <w:r>
        <w:rPr>
          <w:color w:val="5F5F5F"/>
          <w:spacing w:val="-4"/>
        </w:rPr>
        <w:t xml:space="preserve"> </w:t>
      </w:r>
      <w:r>
        <w:rPr>
          <w:color w:val="5F5F5F"/>
        </w:rPr>
        <w:t>This</w:t>
      </w:r>
      <w:r>
        <w:rPr>
          <w:color w:val="5F5F5F"/>
          <w:spacing w:val="-5"/>
        </w:rPr>
        <w:t xml:space="preserve"> </w:t>
      </w:r>
      <w:r>
        <w:rPr>
          <w:color w:val="5F5F5F"/>
        </w:rPr>
        <w:t>volume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addresses Commonwealth and Victorian government requirements.</w:t>
      </w:r>
    </w:p>
    <w:p w14:paraId="4840B25A" w14:textId="77777777" w:rsidR="00792DF6" w:rsidRDefault="00E00C11">
      <w:pPr>
        <w:pStyle w:val="BodyText"/>
        <w:spacing w:before="124" w:line="360" w:lineRule="auto"/>
        <w:ind w:left="472" w:right="138" w:hanging="360"/>
        <w:jc w:val="both"/>
      </w:pPr>
      <w:r>
        <w:rPr>
          <w:noProof/>
        </w:rPr>
        <w:drawing>
          <wp:inline distT="0" distB="0" distL="0" distR="0" wp14:anchorId="16771F7A" wp14:editId="72FF3E0B">
            <wp:extent cx="106679" cy="106679"/>
            <wp:effectExtent l="0" t="0" r="0" b="0"/>
            <wp:docPr id="171" name="Image 171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 descr="*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b/>
          <w:color w:val="5F5F5F"/>
        </w:rPr>
        <w:t>Volume 5 –</w:t>
      </w:r>
      <w:r>
        <w:rPr>
          <w:b/>
          <w:color w:val="5F5F5F"/>
          <w:spacing w:val="-4"/>
        </w:rPr>
        <w:t xml:space="preserve"> </w:t>
      </w:r>
      <w:r>
        <w:rPr>
          <w:b/>
          <w:color w:val="5F5F5F"/>
        </w:rPr>
        <w:t>Synthesis</w:t>
      </w:r>
      <w:r>
        <w:rPr>
          <w:b/>
          <w:color w:val="5F5F5F"/>
          <w:spacing w:val="-4"/>
        </w:rPr>
        <w:t xml:space="preserve"> </w:t>
      </w:r>
      <w:r>
        <w:rPr>
          <w:b/>
          <w:color w:val="5F5F5F"/>
        </w:rPr>
        <w:t>of environmental</w:t>
      </w:r>
      <w:r>
        <w:rPr>
          <w:b/>
          <w:color w:val="5F5F5F"/>
          <w:spacing w:val="-1"/>
        </w:rPr>
        <w:t xml:space="preserve"> </w:t>
      </w:r>
      <w:r>
        <w:rPr>
          <w:b/>
          <w:color w:val="5F5F5F"/>
        </w:rPr>
        <w:t>effects</w:t>
      </w:r>
      <w:r>
        <w:rPr>
          <w:b/>
          <w:color w:val="5F5F5F"/>
          <w:spacing w:val="-1"/>
        </w:rPr>
        <w:t xml:space="preserve"> </w:t>
      </w:r>
      <w:r>
        <w:rPr>
          <w:color w:val="5F5F5F"/>
        </w:rPr>
        <w:t>is a</w:t>
      </w:r>
      <w:r>
        <w:rPr>
          <w:color w:val="5F5F5F"/>
          <w:spacing w:val="-9"/>
        </w:rPr>
        <w:t xml:space="preserve"> </w:t>
      </w:r>
      <w:r>
        <w:rPr>
          <w:color w:val="5F5F5F"/>
        </w:rPr>
        <w:t>series of concluding chapters that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draws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together the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overall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assessment of the</w:t>
      </w:r>
      <w:r>
        <w:rPr>
          <w:color w:val="5F5F5F"/>
          <w:spacing w:val="-7"/>
        </w:rPr>
        <w:t xml:space="preserve"> </w:t>
      </w:r>
      <w:r>
        <w:rPr>
          <w:color w:val="5F5F5F"/>
        </w:rPr>
        <w:t>environmental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effects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of</w:t>
      </w:r>
      <w:r>
        <w:rPr>
          <w:color w:val="5F5F5F"/>
          <w:spacing w:val="-4"/>
        </w:rPr>
        <w:t xml:space="preserve"> </w:t>
      </w:r>
      <w:r>
        <w:rPr>
          <w:color w:val="5F5F5F"/>
        </w:rPr>
        <w:t>the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project as</w:t>
      </w:r>
      <w:r>
        <w:rPr>
          <w:color w:val="5F5F5F"/>
          <w:spacing w:val="-5"/>
        </w:rPr>
        <w:t xml:space="preserve"> </w:t>
      </w:r>
      <w:r>
        <w:rPr>
          <w:color w:val="5F5F5F"/>
        </w:rPr>
        <w:t>a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whole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and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provides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a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summary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of impacts for each jurisdiction.</w:t>
      </w:r>
    </w:p>
    <w:p w14:paraId="7507112A" w14:textId="77777777" w:rsidR="00792DF6" w:rsidRDefault="00E00C11">
      <w:pPr>
        <w:pStyle w:val="BodyText"/>
        <w:spacing w:before="184" w:line="355" w:lineRule="auto"/>
        <w:ind w:left="113" w:right="65" w:hanging="1"/>
      </w:pPr>
      <w:r>
        <w:rPr>
          <w:color w:val="5F5F5F"/>
        </w:rPr>
        <w:t>Each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volume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consists</w:t>
      </w:r>
      <w:r>
        <w:rPr>
          <w:color w:val="5F5F5F"/>
          <w:spacing w:val="-5"/>
        </w:rPr>
        <w:t xml:space="preserve"> </w:t>
      </w:r>
      <w:r>
        <w:rPr>
          <w:color w:val="5F5F5F"/>
        </w:rPr>
        <w:t>of detailed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chapters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as</w:t>
      </w:r>
      <w:r>
        <w:rPr>
          <w:color w:val="5F5F5F"/>
          <w:spacing w:val="-5"/>
        </w:rPr>
        <w:t xml:space="preserve"> </w:t>
      </w:r>
      <w:r>
        <w:rPr>
          <w:color w:val="5F5F5F"/>
        </w:rPr>
        <w:t>illustrated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in</w:t>
      </w:r>
      <w:r>
        <w:rPr>
          <w:color w:val="5F5F5F"/>
          <w:spacing w:val="-3"/>
        </w:rPr>
        <w:t xml:space="preserve"> </w:t>
      </w:r>
      <w:hyperlink w:anchor="_bookmark4" w:history="1">
        <w:r>
          <w:rPr>
            <w:color w:val="5F5F5F"/>
          </w:rPr>
          <w:t>Figure</w:t>
        </w:r>
        <w:r>
          <w:rPr>
            <w:color w:val="5F5F5F"/>
            <w:spacing w:val="-5"/>
          </w:rPr>
          <w:t xml:space="preserve"> </w:t>
        </w:r>
        <w:r>
          <w:rPr>
            <w:color w:val="5F5F5F"/>
          </w:rPr>
          <w:t>3-04.</w:t>
        </w:r>
      </w:hyperlink>
      <w:r>
        <w:rPr>
          <w:color w:val="5F5F5F"/>
          <w:spacing w:val="-5"/>
        </w:rPr>
        <w:t xml:space="preserve"> </w:t>
      </w:r>
      <w:r>
        <w:rPr>
          <w:color w:val="5F5F5F"/>
        </w:rPr>
        <w:t>Technical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studies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that</w:t>
      </w:r>
      <w:r>
        <w:rPr>
          <w:color w:val="5F5F5F"/>
          <w:spacing w:val="-5"/>
        </w:rPr>
        <w:t xml:space="preserve"> </w:t>
      </w:r>
      <w:r>
        <w:rPr>
          <w:color w:val="5F5F5F"/>
        </w:rPr>
        <w:t>were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prepared to support this EIS/EES are provided as appendices.</w:t>
      </w:r>
    </w:p>
    <w:p w14:paraId="2B2A7CBC" w14:textId="77777777" w:rsidR="00792DF6" w:rsidRDefault="00792DF6">
      <w:pPr>
        <w:spacing w:line="355" w:lineRule="auto"/>
        <w:sectPr w:rsidR="00792DF6">
          <w:pgSz w:w="11910" w:h="16840"/>
          <w:pgMar w:top="1500" w:right="1020" w:bottom="800" w:left="1020" w:header="467" w:footer="612" w:gutter="0"/>
          <w:cols w:space="720"/>
        </w:sectPr>
      </w:pPr>
    </w:p>
    <w:p w14:paraId="17FFF12C" w14:textId="77777777" w:rsidR="00792DF6" w:rsidRDefault="00792DF6">
      <w:pPr>
        <w:pStyle w:val="BodyText"/>
      </w:pPr>
    </w:p>
    <w:p w14:paraId="50D3D34A" w14:textId="77777777" w:rsidR="00792DF6" w:rsidRDefault="00792DF6">
      <w:pPr>
        <w:pStyle w:val="BodyText"/>
      </w:pPr>
    </w:p>
    <w:p w14:paraId="695DA176" w14:textId="77777777" w:rsidR="00792DF6" w:rsidRDefault="00792DF6">
      <w:pPr>
        <w:pStyle w:val="BodyText"/>
        <w:spacing w:before="207"/>
      </w:pPr>
    </w:p>
    <w:p w14:paraId="48081511" w14:textId="77777777" w:rsidR="00792DF6" w:rsidRDefault="00E00C11">
      <w:pPr>
        <w:pStyle w:val="BodyText"/>
        <w:ind w:left="584"/>
      </w:pPr>
      <w:r>
        <w:rPr>
          <w:noProof/>
        </w:rPr>
        <w:drawing>
          <wp:inline distT="0" distB="0" distL="0" distR="0" wp14:anchorId="44FC2B13" wp14:editId="190D5424">
            <wp:extent cx="5567714" cy="6518148"/>
            <wp:effectExtent l="0" t="0" r="0" b="0"/>
            <wp:docPr id="172" name="Image 172" descr="A close-up of a website  Description automatically generated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 descr="A close-up of a website  Description automatically generated 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714" cy="651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D07E9" w14:textId="77777777" w:rsidR="00792DF6" w:rsidRDefault="00792DF6">
      <w:pPr>
        <w:pStyle w:val="BodyText"/>
      </w:pPr>
    </w:p>
    <w:p w14:paraId="69C57492" w14:textId="77777777" w:rsidR="00792DF6" w:rsidRDefault="00792DF6">
      <w:pPr>
        <w:pStyle w:val="BodyText"/>
      </w:pPr>
    </w:p>
    <w:p w14:paraId="5715F9DA" w14:textId="77777777" w:rsidR="00792DF6" w:rsidRDefault="00792DF6">
      <w:pPr>
        <w:pStyle w:val="BodyText"/>
      </w:pPr>
    </w:p>
    <w:p w14:paraId="011F00DB" w14:textId="77777777" w:rsidR="00792DF6" w:rsidRDefault="00792DF6">
      <w:pPr>
        <w:pStyle w:val="BodyText"/>
      </w:pPr>
    </w:p>
    <w:p w14:paraId="1D70912D" w14:textId="77777777" w:rsidR="00792DF6" w:rsidRDefault="00792DF6">
      <w:pPr>
        <w:pStyle w:val="BodyText"/>
      </w:pPr>
    </w:p>
    <w:p w14:paraId="027E26FF" w14:textId="77777777" w:rsidR="00792DF6" w:rsidRDefault="00792DF6">
      <w:pPr>
        <w:pStyle w:val="BodyText"/>
      </w:pPr>
    </w:p>
    <w:p w14:paraId="3CAAB3BB" w14:textId="77777777" w:rsidR="00792DF6" w:rsidRDefault="00792DF6">
      <w:pPr>
        <w:pStyle w:val="BodyText"/>
        <w:spacing w:before="175"/>
      </w:pPr>
    </w:p>
    <w:p w14:paraId="7BBDD9C6" w14:textId="77777777" w:rsidR="00792DF6" w:rsidRDefault="00E00C11">
      <w:pPr>
        <w:pStyle w:val="BodyText"/>
        <w:tabs>
          <w:tab w:val="left" w:pos="1552"/>
        </w:tabs>
        <w:ind w:left="112"/>
        <w:rPr>
          <w:rFonts w:ascii="Century Gothic"/>
        </w:rPr>
      </w:pPr>
      <w:bookmarkStart w:id="7" w:name="_bookmark4"/>
      <w:bookmarkEnd w:id="7"/>
      <w:r>
        <w:rPr>
          <w:rFonts w:ascii="Century Gothic"/>
          <w:color w:val="18314A"/>
        </w:rPr>
        <w:t>Figure</w:t>
      </w:r>
      <w:r>
        <w:rPr>
          <w:rFonts w:ascii="Century Gothic"/>
          <w:color w:val="18314A"/>
          <w:spacing w:val="-6"/>
        </w:rPr>
        <w:t xml:space="preserve"> </w:t>
      </w:r>
      <w:r>
        <w:rPr>
          <w:rFonts w:ascii="Century Gothic"/>
          <w:color w:val="18314A"/>
        </w:rPr>
        <w:t>3-</w:t>
      </w:r>
      <w:r>
        <w:rPr>
          <w:rFonts w:ascii="Century Gothic"/>
          <w:color w:val="18314A"/>
          <w:spacing w:val="-5"/>
        </w:rPr>
        <w:t>04</w:t>
      </w:r>
      <w:r>
        <w:rPr>
          <w:rFonts w:ascii="Century Gothic"/>
          <w:color w:val="18314A"/>
        </w:rPr>
        <w:tab/>
        <w:t>Structure</w:t>
      </w:r>
      <w:r>
        <w:rPr>
          <w:rFonts w:ascii="Century Gothic"/>
          <w:color w:val="18314A"/>
          <w:spacing w:val="-6"/>
        </w:rPr>
        <w:t xml:space="preserve"> </w:t>
      </w:r>
      <w:r>
        <w:rPr>
          <w:rFonts w:ascii="Century Gothic"/>
          <w:color w:val="18314A"/>
        </w:rPr>
        <w:t>of</w:t>
      </w:r>
      <w:r>
        <w:rPr>
          <w:rFonts w:ascii="Century Gothic"/>
          <w:color w:val="18314A"/>
          <w:spacing w:val="-6"/>
        </w:rPr>
        <w:t xml:space="preserve"> </w:t>
      </w:r>
      <w:r>
        <w:rPr>
          <w:rFonts w:ascii="Century Gothic"/>
          <w:color w:val="18314A"/>
        </w:rPr>
        <w:t>the</w:t>
      </w:r>
      <w:r>
        <w:rPr>
          <w:rFonts w:ascii="Century Gothic"/>
          <w:color w:val="18314A"/>
          <w:spacing w:val="-7"/>
        </w:rPr>
        <w:t xml:space="preserve"> </w:t>
      </w:r>
      <w:r>
        <w:rPr>
          <w:rFonts w:ascii="Century Gothic"/>
          <w:color w:val="18314A"/>
        </w:rPr>
        <w:t>Marinus</w:t>
      </w:r>
      <w:r>
        <w:rPr>
          <w:rFonts w:ascii="Century Gothic"/>
          <w:color w:val="18314A"/>
          <w:spacing w:val="-6"/>
        </w:rPr>
        <w:t xml:space="preserve"> </w:t>
      </w:r>
      <w:r>
        <w:rPr>
          <w:rFonts w:ascii="Century Gothic"/>
          <w:color w:val="18314A"/>
        </w:rPr>
        <w:t>Link</w:t>
      </w:r>
      <w:r>
        <w:rPr>
          <w:rFonts w:ascii="Century Gothic"/>
          <w:color w:val="18314A"/>
          <w:spacing w:val="-5"/>
        </w:rPr>
        <w:t xml:space="preserve"> </w:t>
      </w:r>
      <w:r>
        <w:rPr>
          <w:rFonts w:ascii="Century Gothic"/>
          <w:color w:val="18314A"/>
          <w:spacing w:val="-2"/>
        </w:rPr>
        <w:t>EIS/EES</w:t>
      </w:r>
    </w:p>
    <w:sectPr w:rsidR="00792DF6">
      <w:pgSz w:w="11910" w:h="16840"/>
      <w:pgMar w:top="1500" w:right="1020" w:bottom="800" w:left="1020" w:header="467" w:footer="6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DB489D" w14:textId="77777777" w:rsidR="00E00C11" w:rsidRDefault="00E00C11">
      <w:r>
        <w:separator/>
      </w:r>
    </w:p>
  </w:endnote>
  <w:endnote w:type="continuationSeparator" w:id="0">
    <w:p w14:paraId="685A86A6" w14:textId="77777777" w:rsidR="00E00C11" w:rsidRDefault="00E00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2CEF1" w14:textId="77777777" w:rsidR="00792DF6" w:rsidRDefault="00E00C11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57216" behindDoc="1" locked="0" layoutInCell="1" allowOverlap="1" wp14:anchorId="5208613A" wp14:editId="2686E25C">
          <wp:simplePos x="0" y="0"/>
          <wp:positionH relativeFrom="page">
            <wp:posOffset>0</wp:posOffset>
          </wp:positionH>
          <wp:positionV relativeFrom="page">
            <wp:posOffset>10515458</wp:posOffset>
          </wp:positionV>
          <wp:extent cx="7562088" cy="176925"/>
          <wp:effectExtent l="0" t="0" r="0" b="0"/>
          <wp:wrapNone/>
          <wp:docPr id="1154929899" name="Image 16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" name="Image 16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2088" cy="176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1FA6B9AB" wp14:editId="5A2D8B38">
              <wp:simplePos x="0" y="0"/>
              <wp:positionH relativeFrom="page">
                <wp:posOffset>776731</wp:posOffset>
              </wp:positionH>
              <wp:positionV relativeFrom="page">
                <wp:posOffset>10163892</wp:posOffset>
              </wp:positionV>
              <wp:extent cx="1786889" cy="167640"/>
              <wp:effectExtent l="0" t="0" r="0" b="0"/>
              <wp:wrapNone/>
              <wp:docPr id="164" name="Text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6889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E8069C" w14:textId="77777777" w:rsidR="00792DF6" w:rsidRDefault="00E00C11">
                          <w:pPr>
                            <w:spacing w:before="22"/>
                            <w:ind w:left="20"/>
                            <w:rPr>
                              <w:rFonts w:ascii="Century Gothic" w:hAnsi="Century Gothic"/>
                              <w:sz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</w:rPr>
                            <w:t>Volume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</w:rPr>
                            <w:t>Marine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pacing w:val="-2"/>
                              <w:sz w:val="18"/>
                            </w:rPr>
                            <w:t>environment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A6B9AB" id="_x0000_t202" coordsize="21600,21600" o:spt="202" path="m,l,21600r21600,l21600,xe">
              <v:stroke joinstyle="miter"/>
              <v:path gradientshapeok="t" o:connecttype="rect"/>
            </v:shapetype>
            <v:shape id="Textbox 164" o:spid="_x0000_s1026" type="#_x0000_t202" style="position:absolute;margin-left:61.15pt;margin-top:800.3pt;width:140.7pt;height:13.2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" filled="f" stroked="f">
              <v:textbox inset="0,0,0,0">
                <w:txbxContent>
                  <w:p w14:paraId="2EE8069C" w14:textId="77777777" w:rsidR="00792DF6" w:rsidRDefault="00E00C11">
                    <w:pPr>
                      <w:spacing w:before="22"/>
                      <w:ind w:left="20"/>
                      <w:rPr>
                        <w:rFonts w:ascii="Century Gothic" w:hAnsi="Century Gothic"/>
                        <w:sz w:val="18"/>
                      </w:rPr>
                    </w:pPr>
                    <w:r>
                      <w:rPr>
                        <w:rFonts w:ascii="Century Gothic" w:hAnsi="Century Gothic"/>
                        <w:color w:val="808080"/>
                        <w:sz w:val="18"/>
                      </w:rPr>
                      <w:t>Volume</w:t>
                    </w:r>
                    <w:r>
                      <w:rPr>
                        <w:rFonts w:ascii="Century Gothic" w:hAnsi="Century Gothic"/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808080"/>
                        <w:sz w:val="18"/>
                      </w:rPr>
                      <w:t>3</w:t>
                    </w:r>
                    <w:r>
                      <w:rPr>
                        <w:rFonts w:ascii="Century Gothic" w:hAnsi="Century Gothic"/>
                        <w:color w:val="80808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808080"/>
                        <w:sz w:val="18"/>
                      </w:rPr>
                      <w:t>–</w:t>
                    </w:r>
                    <w:r>
                      <w:rPr>
                        <w:rFonts w:ascii="Century Gothic" w:hAnsi="Century Gothic"/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808080"/>
                        <w:sz w:val="18"/>
                      </w:rPr>
                      <w:t>Marine</w:t>
                    </w:r>
                    <w:r>
                      <w:rPr>
                        <w:rFonts w:ascii="Century Gothic" w:hAnsi="Century Gothic"/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808080"/>
                        <w:spacing w:val="-2"/>
                        <w:sz w:val="18"/>
                      </w:rPr>
                      <w:t>environment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2042C2BB" wp14:editId="3C353C2D">
              <wp:simplePos x="0" y="0"/>
              <wp:positionH relativeFrom="page">
                <wp:posOffset>6266179</wp:posOffset>
              </wp:positionH>
              <wp:positionV relativeFrom="page">
                <wp:posOffset>10163892</wp:posOffset>
              </wp:positionV>
              <wp:extent cx="560705" cy="167640"/>
              <wp:effectExtent l="0" t="0" r="0" b="0"/>
              <wp:wrapNone/>
              <wp:docPr id="165" name="Text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070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213404" w14:textId="77777777" w:rsidR="00792DF6" w:rsidRDefault="00E00C11">
                          <w:pPr>
                            <w:spacing w:before="22"/>
                            <w:ind w:left="20"/>
                            <w:rPr>
                              <w:rFonts w:ascii="Century Gothic"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color w:val="808080"/>
                              <w:sz w:val="18"/>
                            </w:rPr>
                            <w:t>Page</w:t>
                          </w:r>
                          <w:r>
                            <w:rPr>
                              <w:rFonts w:ascii="Century Gothic"/>
                              <w:color w:val="80808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808080"/>
                              <w:sz w:val="18"/>
                            </w:rPr>
                            <w:t>1-</w:t>
                          </w:r>
                          <w:r>
                            <w:rPr>
                              <w:rFonts w:ascii="Century Gothic"/>
                              <w:color w:val="80808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color w:val="808080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color w:val="808080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color w:val="808080"/>
                              <w:spacing w:val="-10"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Century Gothic"/>
                              <w:color w:val="80808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42C2BB" id="Textbox 165" o:spid="_x0000_s1027" type="#_x0000_t202" style="position:absolute;margin-left:493.4pt;margin-top:800.3pt;width:44.15pt;height:13.2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" filled="f" stroked="f">
              <v:textbox inset="0,0,0,0">
                <w:txbxContent>
                  <w:p w14:paraId="73213404" w14:textId="77777777" w:rsidR="00792DF6" w:rsidRDefault="00E00C11">
                    <w:pPr>
                      <w:spacing w:before="22"/>
                      <w:ind w:left="20"/>
                      <w:rPr>
                        <w:rFonts w:ascii="Century Gothic"/>
                        <w:sz w:val="18"/>
                      </w:rPr>
                    </w:pPr>
                    <w:r>
                      <w:rPr>
                        <w:rFonts w:ascii="Century Gothic"/>
                        <w:color w:val="808080"/>
                        <w:sz w:val="18"/>
                      </w:rPr>
                      <w:t>Page</w:t>
                    </w:r>
                    <w:r>
                      <w:rPr>
                        <w:rFonts w:ascii="Century Gothic"/>
                        <w:color w:val="80808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color w:val="808080"/>
                        <w:sz w:val="18"/>
                      </w:rPr>
                      <w:t>1-</w:t>
                    </w:r>
                    <w:r>
                      <w:rPr>
                        <w:rFonts w:ascii="Century Gothic"/>
                        <w:color w:val="80808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Century Gothic"/>
                        <w:color w:val="808080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color w:val="808080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Century Gothic"/>
                        <w:color w:val="808080"/>
                        <w:spacing w:val="-10"/>
                        <w:sz w:val="18"/>
                      </w:rPr>
                      <w:t>4</w:t>
                    </w:r>
                    <w:r>
                      <w:rPr>
                        <w:rFonts w:ascii="Century Gothic"/>
                        <w:color w:val="80808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323D8E" w14:textId="77777777" w:rsidR="00E00C11" w:rsidRDefault="00E00C11">
      <w:r>
        <w:separator/>
      </w:r>
    </w:p>
  </w:footnote>
  <w:footnote w:type="continuationSeparator" w:id="0">
    <w:p w14:paraId="2AF268A0" w14:textId="77777777" w:rsidR="00E00C11" w:rsidRDefault="00E00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28EDE" w14:textId="77777777" w:rsidR="00792DF6" w:rsidRDefault="00E00C11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51072" behindDoc="1" locked="0" layoutInCell="1" allowOverlap="1" wp14:anchorId="68F30D29" wp14:editId="4F4CD807">
          <wp:simplePos x="0" y="0"/>
          <wp:positionH relativeFrom="page">
            <wp:posOffset>5613160</wp:posOffset>
          </wp:positionH>
          <wp:positionV relativeFrom="page">
            <wp:posOffset>296387</wp:posOffset>
          </wp:positionV>
          <wp:extent cx="1195841" cy="332586"/>
          <wp:effectExtent l="0" t="0" r="0" b="0"/>
          <wp:wrapNone/>
          <wp:docPr id="1400154866" name="Image 1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Image 1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5841" cy="3325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5B1016"/>
    <w:multiLevelType w:val="multilevel"/>
    <w:tmpl w:val="B15A65AC"/>
    <w:lvl w:ilvl="0">
      <w:start w:val="1"/>
      <w:numFmt w:val="decimal"/>
      <w:lvlText w:val="%1"/>
      <w:lvlJc w:val="left"/>
      <w:pPr>
        <w:ind w:left="1422" w:hanging="850"/>
        <w:jc w:val="left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18314A"/>
        <w:spacing w:val="0"/>
        <w:w w:val="99"/>
        <w:sz w:val="52"/>
        <w:szCs w:val="5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2" w:hanging="850"/>
        <w:jc w:val="right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18314A"/>
        <w:spacing w:val="0"/>
        <w:w w:val="100"/>
        <w:sz w:val="44"/>
        <w:szCs w:val="4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5" w:hanging="1133"/>
        <w:jc w:val="left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18314A"/>
        <w:spacing w:val="-1"/>
        <w:w w:val="100"/>
        <w:sz w:val="32"/>
        <w:szCs w:val="32"/>
        <w:lang w:val="en-US" w:eastAsia="en-US" w:bidi="ar-SA"/>
      </w:rPr>
    </w:lvl>
    <w:lvl w:ilvl="3">
      <w:numFmt w:val="bullet"/>
      <w:lvlText w:val="•"/>
      <w:lvlJc w:val="left"/>
      <w:pPr>
        <w:ind w:left="3297" w:hanging="113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36" w:hanging="11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75" w:hanging="11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3" w:hanging="11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52" w:hanging="11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91" w:hanging="1133"/>
      </w:pPr>
      <w:rPr>
        <w:rFonts w:hint="default"/>
        <w:lang w:val="en-US" w:eastAsia="en-US" w:bidi="ar-SA"/>
      </w:rPr>
    </w:lvl>
  </w:abstractNum>
  <w:abstractNum w:abstractNumId="1" w15:restartNumberingAfterBreak="0">
    <w:nsid w:val="1230734D"/>
    <w:multiLevelType w:val="hybridMultilevel"/>
    <w:tmpl w:val="69D20E3E"/>
    <w:lvl w:ilvl="0" w:tplc="B89482EC">
      <w:numFmt w:val="bullet"/>
      <w:lvlText w:val="●"/>
      <w:lvlJc w:val="left"/>
      <w:pPr>
        <w:ind w:left="354" w:hanging="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2"/>
        <w:position w:val="2"/>
        <w:sz w:val="10"/>
        <w:szCs w:val="10"/>
        <w:lang w:val="en-US" w:eastAsia="en-US" w:bidi="ar-SA"/>
      </w:rPr>
    </w:lvl>
    <w:lvl w:ilvl="1" w:tplc="3E20CD7C">
      <w:numFmt w:val="bullet"/>
      <w:lvlText w:val="•"/>
      <w:lvlJc w:val="left"/>
      <w:pPr>
        <w:ind w:left="872" w:hanging="90"/>
      </w:pPr>
      <w:rPr>
        <w:rFonts w:hint="default"/>
        <w:lang w:val="en-US" w:eastAsia="en-US" w:bidi="ar-SA"/>
      </w:rPr>
    </w:lvl>
    <w:lvl w:ilvl="2" w:tplc="C5A24A64">
      <w:numFmt w:val="bullet"/>
      <w:lvlText w:val="•"/>
      <w:lvlJc w:val="left"/>
      <w:pPr>
        <w:ind w:left="1385" w:hanging="90"/>
      </w:pPr>
      <w:rPr>
        <w:rFonts w:hint="default"/>
        <w:lang w:val="en-US" w:eastAsia="en-US" w:bidi="ar-SA"/>
      </w:rPr>
    </w:lvl>
    <w:lvl w:ilvl="3" w:tplc="4C9416E2">
      <w:numFmt w:val="bullet"/>
      <w:lvlText w:val="•"/>
      <w:lvlJc w:val="left"/>
      <w:pPr>
        <w:ind w:left="1897" w:hanging="90"/>
      </w:pPr>
      <w:rPr>
        <w:rFonts w:hint="default"/>
        <w:lang w:val="en-US" w:eastAsia="en-US" w:bidi="ar-SA"/>
      </w:rPr>
    </w:lvl>
    <w:lvl w:ilvl="4" w:tplc="24C02F90">
      <w:numFmt w:val="bullet"/>
      <w:lvlText w:val="•"/>
      <w:lvlJc w:val="left"/>
      <w:pPr>
        <w:ind w:left="2410" w:hanging="90"/>
      </w:pPr>
      <w:rPr>
        <w:rFonts w:hint="default"/>
        <w:lang w:val="en-US" w:eastAsia="en-US" w:bidi="ar-SA"/>
      </w:rPr>
    </w:lvl>
    <w:lvl w:ilvl="5" w:tplc="2B04AC16">
      <w:numFmt w:val="bullet"/>
      <w:lvlText w:val="•"/>
      <w:lvlJc w:val="left"/>
      <w:pPr>
        <w:ind w:left="2922" w:hanging="90"/>
      </w:pPr>
      <w:rPr>
        <w:rFonts w:hint="default"/>
        <w:lang w:val="en-US" w:eastAsia="en-US" w:bidi="ar-SA"/>
      </w:rPr>
    </w:lvl>
    <w:lvl w:ilvl="6" w:tplc="61381FDA">
      <w:numFmt w:val="bullet"/>
      <w:lvlText w:val="•"/>
      <w:lvlJc w:val="left"/>
      <w:pPr>
        <w:ind w:left="3435" w:hanging="90"/>
      </w:pPr>
      <w:rPr>
        <w:rFonts w:hint="default"/>
        <w:lang w:val="en-US" w:eastAsia="en-US" w:bidi="ar-SA"/>
      </w:rPr>
    </w:lvl>
    <w:lvl w:ilvl="7" w:tplc="587E692C">
      <w:numFmt w:val="bullet"/>
      <w:lvlText w:val="•"/>
      <w:lvlJc w:val="left"/>
      <w:pPr>
        <w:ind w:left="3948" w:hanging="90"/>
      </w:pPr>
      <w:rPr>
        <w:rFonts w:hint="default"/>
        <w:lang w:val="en-US" w:eastAsia="en-US" w:bidi="ar-SA"/>
      </w:rPr>
    </w:lvl>
    <w:lvl w:ilvl="8" w:tplc="47CE0C7A">
      <w:numFmt w:val="bullet"/>
      <w:lvlText w:val="•"/>
      <w:lvlJc w:val="left"/>
      <w:pPr>
        <w:ind w:left="4460" w:hanging="90"/>
      </w:pPr>
      <w:rPr>
        <w:rFonts w:hint="default"/>
        <w:lang w:val="en-US" w:eastAsia="en-US" w:bidi="ar-SA"/>
      </w:rPr>
    </w:lvl>
  </w:abstractNum>
  <w:abstractNum w:abstractNumId="2" w15:restartNumberingAfterBreak="0">
    <w:nsid w:val="1F780504"/>
    <w:multiLevelType w:val="hybridMultilevel"/>
    <w:tmpl w:val="229AF8E4"/>
    <w:lvl w:ilvl="0" w:tplc="F1A010BC">
      <w:numFmt w:val="bullet"/>
      <w:lvlText w:val="●"/>
      <w:lvlJc w:val="left"/>
      <w:pPr>
        <w:ind w:left="266" w:hanging="90"/>
      </w:pPr>
      <w:rPr>
        <w:rFonts w:ascii="Arial" w:eastAsia="Arial" w:hAnsi="Arial" w:cs="Arial" w:hint="default"/>
        <w:spacing w:val="0"/>
        <w:w w:val="112"/>
        <w:lang w:val="en-US" w:eastAsia="en-US" w:bidi="ar-SA"/>
      </w:rPr>
    </w:lvl>
    <w:lvl w:ilvl="1" w:tplc="7BE8E668">
      <w:numFmt w:val="bullet"/>
      <w:lvlText w:val="●"/>
      <w:lvlJc w:val="left"/>
      <w:pPr>
        <w:ind w:left="358" w:hanging="90"/>
      </w:pPr>
      <w:rPr>
        <w:rFonts w:ascii="Arial" w:eastAsia="Arial" w:hAnsi="Arial" w:cs="Arial" w:hint="default"/>
        <w:spacing w:val="0"/>
        <w:w w:val="112"/>
        <w:lang w:val="en-US" w:eastAsia="en-US" w:bidi="ar-SA"/>
      </w:rPr>
    </w:lvl>
    <w:lvl w:ilvl="2" w:tplc="E7CE89B2">
      <w:numFmt w:val="bullet"/>
      <w:lvlText w:val="●"/>
      <w:lvlJc w:val="left"/>
      <w:pPr>
        <w:ind w:left="823" w:hanging="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2"/>
        <w:position w:val="2"/>
        <w:sz w:val="10"/>
        <w:szCs w:val="10"/>
        <w:lang w:val="en-US" w:eastAsia="en-US" w:bidi="ar-SA"/>
      </w:rPr>
    </w:lvl>
    <w:lvl w:ilvl="3" w:tplc="0E0C457A">
      <w:numFmt w:val="bullet"/>
      <w:lvlText w:val="●"/>
      <w:lvlJc w:val="left"/>
      <w:pPr>
        <w:ind w:left="2607" w:hanging="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2"/>
        <w:position w:val="2"/>
        <w:sz w:val="10"/>
        <w:szCs w:val="10"/>
        <w:lang w:val="en-US" w:eastAsia="en-US" w:bidi="ar-SA"/>
      </w:rPr>
    </w:lvl>
    <w:lvl w:ilvl="4" w:tplc="E54C33E2">
      <w:numFmt w:val="bullet"/>
      <w:lvlText w:val="●"/>
      <w:lvlJc w:val="left"/>
      <w:pPr>
        <w:ind w:left="920" w:hanging="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2"/>
        <w:sz w:val="10"/>
        <w:szCs w:val="10"/>
        <w:lang w:val="en-US" w:eastAsia="en-US" w:bidi="ar-SA"/>
      </w:rPr>
    </w:lvl>
    <w:lvl w:ilvl="5" w:tplc="F014B08E">
      <w:numFmt w:val="bullet"/>
      <w:lvlText w:val="●"/>
      <w:lvlJc w:val="left"/>
      <w:pPr>
        <w:ind w:left="2066" w:hanging="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2"/>
        <w:position w:val="2"/>
        <w:sz w:val="10"/>
        <w:szCs w:val="10"/>
        <w:lang w:val="en-US" w:eastAsia="en-US" w:bidi="ar-SA"/>
      </w:rPr>
    </w:lvl>
    <w:lvl w:ilvl="6" w:tplc="CA607B6E">
      <w:numFmt w:val="bullet"/>
      <w:lvlText w:val="•"/>
      <w:lvlJc w:val="left"/>
      <w:pPr>
        <w:ind w:left="2600" w:hanging="90"/>
      </w:pPr>
      <w:rPr>
        <w:rFonts w:hint="default"/>
        <w:lang w:val="en-US" w:eastAsia="en-US" w:bidi="ar-SA"/>
      </w:rPr>
    </w:lvl>
    <w:lvl w:ilvl="7" w:tplc="888E0EB0">
      <w:numFmt w:val="bullet"/>
      <w:lvlText w:val="•"/>
      <w:lvlJc w:val="left"/>
      <w:pPr>
        <w:ind w:left="902" w:hanging="90"/>
      </w:pPr>
      <w:rPr>
        <w:rFonts w:hint="default"/>
        <w:lang w:val="en-US" w:eastAsia="en-US" w:bidi="ar-SA"/>
      </w:rPr>
    </w:lvl>
    <w:lvl w:ilvl="8" w:tplc="D5048088">
      <w:numFmt w:val="bullet"/>
      <w:lvlText w:val="•"/>
      <w:lvlJc w:val="left"/>
      <w:pPr>
        <w:ind w:left="-795" w:hanging="90"/>
      </w:pPr>
      <w:rPr>
        <w:rFonts w:hint="default"/>
        <w:lang w:val="en-US" w:eastAsia="en-US" w:bidi="ar-SA"/>
      </w:rPr>
    </w:lvl>
  </w:abstractNum>
  <w:abstractNum w:abstractNumId="3" w15:restartNumberingAfterBreak="0">
    <w:nsid w:val="2AD021CF"/>
    <w:multiLevelType w:val="hybridMultilevel"/>
    <w:tmpl w:val="5DA03E7E"/>
    <w:lvl w:ilvl="0" w:tplc="B916F678">
      <w:numFmt w:val="bullet"/>
      <w:lvlText w:val="●"/>
      <w:lvlJc w:val="left"/>
      <w:pPr>
        <w:ind w:left="156" w:hanging="90"/>
      </w:pPr>
      <w:rPr>
        <w:rFonts w:ascii="Arial" w:eastAsia="Arial" w:hAnsi="Arial" w:cs="Arial" w:hint="default"/>
        <w:spacing w:val="0"/>
        <w:w w:val="112"/>
        <w:lang w:val="en-US" w:eastAsia="en-US" w:bidi="ar-SA"/>
      </w:rPr>
    </w:lvl>
    <w:lvl w:ilvl="1" w:tplc="0FD83DBC">
      <w:numFmt w:val="bullet"/>
      <w:lvlText w:val="●"/>
      <w:lvlJc w:val="left"/>
      <w:pPr>
        <w:ind w:left="1141" w:hanging="90"/>
      </w:pPr>
      <w:rPr>
        <w:rFonts w:ascii="Arial" w:eastAsia="Arial" w:hAnsi="Arial" w:cs="Arial" w:hint="default"/>
        <w:spacing w:val="0"/>
        <w:w w:val="115"/>
        <w:lang w:val="en-US" w:eastAsia="en-US" w:bidi="ar-SA"/>
      </w:rPr>
    </w:lvl>
    <w:lvl w:ilvl="2" w:tplc="C6540464">
      <w:numFmt w:val="bullet"/>
      <w:lvlText w:val="•"/>
      <w:lvlJc w:val="left"/>
      <w:pPr>
        <w:ind w:left="1140" w:hanging="90"/>
      </w:pPr>
      <w:rPr>
        <w:rFonts w:hint="default"/>
        <w:lang w:val="en-US" w:eastAsia="en-US" w:bidi="ar-SA"/>
      </w:rPr>
    </w:lvl>
    <w:lvl w:ilvl="3" w:tplc="C4C66AE8">
      <w:numFmt w:val="bullet"/>
      <w:lvlText w:val="•"/>
      <w:lvlJc w:val="left"/>
      <w:pPr>
        <w:ind w:left="6020" w:hanging="90"/>
      </w:pPr>
      <w:rPr>
        <w:rFonts w:hint="default"/>
        <w:lang w:val="en-US" w:eastAsia="en-US" w:bidi="ar-SA"/>
      </w:rPr>
    </w:lvl>
    <w:lvl w:ilvl="4" w:tplc="E11476A6">
      <w:numFmt w:val="bullet"/>
      <w:lvlText w:val="•"/>
      <w:lvlJc w:val="left"/>
      <w:pPr>
        <w:ind w:left="5140" w:hanging="90"/>
      </w:pPr>
      <w:rPr>
        <w:rFonts w:hint="default"/>
        <w:lang w:val="en-US" w:eastAsia="en-US" w:bidi="ar-SA"/>
      </w:rPr>
    </w:lvl>
    <w:lvl w:ilvl="5" w:tplc="43B01F08">
      <w:numFmt w:val="bullet"/>
      <w:lvlText w:val="•"/>
      <w:lvlJc w:val="left"/>
      <w:pPr>
        <w:ind w:left="4260" w:hanging="90"/>
      </w:pPr>
      <w:rPr>
        <w:rFonts w:hint="default"/>
        <w:lang w:val="en-US" w:eastAsia="en-US" w:bidi="ar-SA"/>
      </w:rPr>
    </w:lvl>
    <w:lvl w:ilvl="6" w:tplc="D918F6A2">
      <w:numFmt w:val="bullet"/>
      <w:lvlText w:val="•"/>
      <w:lvlJc w:val="left"/>
      <w:pPr>
        <w:ind w:left="3380" w:hanging="90"/>
      </w:pPr>
      <w:rPr>
        <w:rFonts w:hint="default"/>
        <w:lang w:val="en-US" w:eastAsia="en-US" w:bidi="ar-SA"/>
      </w:rPr>
    </w:lvl>
    <w:lvl w:ilvl="7" w:tplc="3D38FB34">
      <w:numFmt w:val="bullet"/>
      <w:lvlText w:val="•"/>
      <w:lvlJc w:val="left"/>
      <w:pPr>
        <w:ind w:left="2500" w:hanging="90"/>
      </w:pPr>
      <w:rPr>
        <w:rFonts w:hint="default"/>
        <w:lang w:val="en-US" w:eastAsia="en-US" w:bidi="ar-SA"/>
      </w:rPr>
    </w:lvl>
    <w:lvl w:ilvl="8" w:tplc="B948AFAE">
      <w:numFmt w:val="bullet"/>
      <w:lvlText w:val="•"/>
      <w:lvlJc w:val="left"/>
      <w:pPr>
        <w:ind w:left="1621" w:hanging="90"/>
      </w:pPr>
      <w:rPr>
        <w:rFonts w:hint="default"/>
        <w:lang w:val="en-US" w:eastAsia="en-US" w:bidi="ar-SA"/>
      </w:rPr>
    </w:lvl>
  </w:abstractNum>
  <w:abstractNum w:abstractNumId="4" w15:restartNumberingAfterBreak="0">
    <w:nsid w:val="575F2372"/>
    <w:multiLevelType w:val="hybridMultilevel"/>
    <w:tmpl w:val="EB98CE70"/>
    <w:lvl w:ilvl="0" w:tplc="2AA0943C">
      <w:numFmt w:val="bullet"/>
      <w:lvlText w:val="●"/>
      <w:lvlJc w:val="left"/>
      <w:pPr>
        <w:ind w:left="89" w:hanging="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2"/>
        <w:position w:val="2"/>
        <w:sz w:val="10"/>
        <w:szCs w:val="10"/>
        <w:lang w:val="en-US" w:eastAsia="en-US" w:bidi="ar-SA"/>
      </w:rPr>
    </w:lvl>
    <w:lvl w:ilvl="1" w:tplc="3820A928">
      <w:numFmt w:val="bullet"/>
      <w:lvlText w:val="●"/>
      <w:lvlJc w:val="left"/>
      <w:pPr>
        <w:ind w:left="215" w:hanging="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2"/>
        <w:position w:val="2"/>
        <w:sz w:val="10"/>
        <w:szCs w:val="10"/>
        <w:lang w:val="en-US" w:eastAsia="en-US" w:bidi="ar-SA"/>
      </w:rPr>
    </w:lvl>
    <w:lvl w:ilvl="2" w:tplc="CCEABA8C">
      <w:numFmt w:val="bullet"/>
      <w:lvlText w:val="●"/>
      <w:lvlJc w:val="left"/>
      <w:pPr>
        <w:ind w:left="665" w:hanging="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2"/>
        <w:sz w:val="10"/>
        <w:szCs w:val="10"/>
        <w:lang w:val="en-US" w:eastAsia="en-US" w:bidi="ar-SA"/>
      </w:rPr>
    </w:lvl>
    <w:lvl w:ilvl="3" w:tplc="1FFC7A74">
      <w:numFmt w:val="bullet"/>
      <w:lvlText w:val="●"/>
      <w:lvlJc w:val="left"/>
      <w:pPr>
        <w:ind w:left="1008" w:hanging="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2"/>
        <w:position w:val="2"/>
        <w:sz w:val="10"/>
        <w:szCs w:val="10"/>
        <w:lang w:val="en-US" w:eastAsia="en-US" w:bidi="ar-SA"/>
      </w:rPr>
    </w:lvl>
    <w:lvl w:ilvl="4" w:tplc="14266150">
      <w:numFmt w:val="bullet"/>
      <w:lvlText w:val="•"/>
      <w:lvlJc w:val="left"/>
      <w:pPr>
        <w:ind w:left="851" w:hanging="90"/>
      </w:pPr>
      <w:rPr>
        <w:rFonts w:hint="default"/>
        <w:lang w:val="en-US" w:eastAsia="en-US" w:bidi="ar-SA"/>
      </w:rPr>
    </w:lvl>
    <w:lvl w:ilvl="5" w:tplc="A3C2B338">
      <w:numFmt w:val="bullet"/>
      <w:lvlText w:val="•"/>
      <w:lvlJc w:val="left"/>
      <w:pPr>
        <w:ind w:left="702" w:hanging="90"/>
      </w:pPr>
      <w:rPr>
        <w:rFonts w:hint="default"/>
        <w:lang w:val="en-US" w:eastAsia="en-US" w:bidi="ar-SA"/>
      </w:rPr>
    </w:lvl>
    <w:lvl w:ilvl="6" w:tplc="FFA62F84">
      <w:numFmt w:val="bullet"/>
      <w:lvlText w:val="•"/>
      <w:lvlJc w:val="left"/>
      <w:pPr>
        <w:ind w:left="554" w:hanging="90"/>
      </w:pPr>
      <w:rPr>
        <w:rFonts w:hint="default"/>
        <w:lang w:val="en-US" w:eastAsia="en-US" w:bidi="ar-SA"/>
      </w:rPr>
    </w:lvl>
    <w:lvl w:ilvl="7" w:tplc="566E42F6">
      <w:numFmt w:val="bullet"/>
      <w:lvlText w:val="•"/>
      <w:lvlJc w:val="left"/>
      <w:pPr>
        <w:ind w:left="405" w:hanging="90"/>
      </w:pPr>
      <w:rPr>
        <w:rFonts w:hint="default"/>
        <w:lang w:val="en-US" w:eastAsia="en-US" w:bidi="ar-SA"/>
      </w:rPr>
    </w:lvl>
    <w:lvl w:ilvl="8" w:tplc="2CE482E0">
      <w:numFmt w:val="bullet"/>
      <w:lvlText w:val="•"/>
      <w:lvlJc w:val="left"/>
      <w:pPr>
        <w:ind w:left="257" w:hanging="90"/>
      </w:pPr>
      <w:rPr>
        <w:rFonts w:hint="default"/>
        <w:lang w:val="en-US" w:eastAsia="en-US" w:bidi="ar-SA"/>
      </w:rPr>
    </w:lvl>
  </w:abstractNum>
  <w:num w:numId="1" w16cid:durableId="1701858079">
    <w:abstractNumId w:val="2"/>
  </w:num>
  <w:num w:numId="2" w16cid:durableId="843324033">
    <w:abstractNumId w:val="4"/>
  </w:num>
  <w:num w:numId="3" w16cid:durableId="1934897046">
    <w:abstractNumId w:val="1"/>
  </w:num>
  <w:num w:numId="4" w16cid:durableId="264575392">
    <w:abstractNumId w:val="3"/>
  </w:num>
  <w:num w:numId="5" w16cid:durableId="263151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92DF6"/>
    <w:rsid w:val="002F378F"/>
    <w:rsid w:val="00792DF6"/>
    <w:rsid w:val="00AE2324"/>
    <w:rsid w:val="00D0724C"/>
    <w:rsid w:val="00D63DA4"/>
    <w:rsid w:val="00E00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5F6F0"/>
  <w15:docId w15:val="{067CC7BD-1919-4407-BA49-AD0C63E07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960" w:hanging="848"/>
      <w:outlineLvl w:val="0"/>
    </w:pPr>
    <w:rPr>
      <w:rFonts w:ascii="Century Gothic" w:eastAsia="Century Gothic" w:hAnsi="Century Gothic" w:cs="Century Gothic"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5" w:hanging="1133"/>
      <w:outlineLvl w:val="1"/>
    </w:pPr>
    <w:rPr>
      <w:rFonts w:ascii="Century Gothic" w:eastAsia="Century Gothic" w:hAnsi="Century Gothic" w:cs="Century Gothi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422" w:hanging="850"/>
    </w:pPr>
    <w:rPr>
      <w:rFonts w:ascii="Century Gothic" w:eastAsia="Century Gothic" w:hAnsi="Century Gothic" w:cs="Century Gothic"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88" w:hanging="88"/>
    </w:pPr>
  </w:style>
  <w:style w:type="paragraph" w:customStyle="1" w:styleId="TableParagraph">
    <w:name w:val="Table Paragraph"/>
    <w:basedOn w:val="Normal"/>
    <w:uiPriority w:val="1"/>
    <w:qFormat/>
    <w:pPr>
      <w:spacing w:before="114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0E4577D27B64B8305F97DD6F8C436" ma:contentTypeVersion="15" ma:contentTypeDescription="Create a new document." ma:contentTypeScope="" ma:versionID="4f2f82b6b40b68a74498d906651ff626">
  <xsd:schema xmlns:xsd="http://www.w3.org/2001/XMLSchema" xmlns:xs="http://www.w3.org/2001/XMLSchema" xmlns:p="http://schemas.microsoft.com/office/2006/metadata/properties" xmlns:ns2="8d38f305-3dcc-438b-b099-d7f2a469ef2c" xmlns:ns3="117d57fd-dd4e-4cbd-afb1-828e5135f85f" targetNamespace="http://schemas.microsoft.com/office/2006/metadata/properties" ma:root="true" ma:fieldsID="46955e8582e5871e1e6f9a44e263f714" ns2:_="" ns3:_="">
    <xsd:import namespace="8d38f305-3dcc-438b-b099-d7f2a469ef2c"/>
    <xsd:import namespace="117d57fd-dd4e-4cbd-afb1-828e5135f85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38f305-3dcc-438b-b099-d7f2a469ef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1a6d660-260c-4434-9c19-1ef9b24d7317}" ma:internalName="TaxCatchAll" ma:showField="CatchAllData" ma:web="8d38f305-3dcc-438b-b099-d7f2a469ef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d57fd-dd4e-4cbd-afb1-828e5135f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b587c05-3346-4fce-ae5e-76af011224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38f305-3dcc-438b-b099-d7f2a469ef2c" xsi:nil="true"/>
    <lcf76f155ced4ddcb4097134ff3c332f xmlns="117d57fd-dd4e-4cbd-afb1-828e5135f8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7A66F3-13A7-4803-97F9-E59E1AB6D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53368-1B72-41D9-8EE6-A5197F49337E}"/>
</file>

<file path=customXml/itemProps3.xml><?xml version="1.0" encoding="utf-8"?>
<ds:datastoreItem xmlns:ds="http://schemas.openxmlformats.org/officeDocument/2006/customXml" ds:itemID="{40949F2D-3F50-4822-BDAD-ECE97101E926}"/>
</file>

<file path=customXml/itemProps4.xml><?xml version="1.0" encoding="utf-8"?>
<ds:datastoreItem xmlns:ds="http://schemas.openxmlformats.org/officeDocument/2006/customXml" ds:itemID="{1F3FD80B-0342-4C58-8FB6-F732C2F5A3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1402</Words>
  <Characters>7994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Marinus Link EIS/EES - Volume 3 Chapter 1 Introduction</vt:lpstr>
    </vt:vector>
  </TitlesOfParts>
  <LinksUpToDate>false</LinksUpToDate>
  <CharactersWithSpaces>9378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Marinus Link EIS/EES - Volume 3 Chapter 1 Introduction</dc:title>
  <dc:creator>Marinus Link Pty Ltd</dc:creator>
  <dc:description/>
  <dcterms:created xsi:type="dcterms:W3CDTF">2024-05-27T05:56:00Z</dcterms:created>
  <dcterms:modified xsi:type="dcterms:W3CDTF">2024-05-29T06:41:00Z</dcterms:modified>
  <cp:category>Microsoft Word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 Category">
    <vt:lpwstr/>
  </property>
  <property fmtid="{D5CDD505-2E9C-101B-9397-08002B2CF9AE}" pid="3" name="Asset_x0020_Category">
    <vt:lpwstr/>
  </property>
  <property fmtid="{D5CDD505-2E9C-101B-9397-08002B2CF9AE}" pid="4" name="ContentTypeId">
    <vt:lpwstr>0x01010081F0E4577D27B64B8305F97DD6F8C436</vt:lpwstr>
  </property>
  <property fmtid="{D5CDD505-2E9C-101B-9397-08002B2CF9AE}" pid="5" name="Created">
    <vt:filetime>2024-05-19T00:00:00Z</vt:filetime>
  </property>
  <property fmtid="{D5CDD505-2E9C-101B-9397-08002B2CF9AE}" pid="6" name="Creator">
    <vt:lpwstr>Acrobat PDFMaker 24 for Word</vt:lpwstr>
  </property>
  <property fmtid="{D5CDD505-2E9C-101B-9397-08002B2CF9AE}" pid="7" name="LastSaved">
    <vt:filetime>2024-05-27T00:00:00Z</vt:filetime>
  </property>
  <property fmtid="{D5CDD505-2E9C-101B-9397-08002B2CF9AE}" pid="8" name="MediaServiceImageTags">
    <vt:lpwstr/>
  </property>
  <property fmtid="{D5CDD505-2E9C-101B-9397-08002B2CF9AE}" pid="9" name="Producer">
    <vt:lpwstr>Adobe PDF Library 24.2.23</vt:lpwstr>
  </property>
  <property fmtid="{D5CDD505-2E9C-101B-9397-08002B2CF9AE}" pid="10" name="RecordPoint_ActiveItemListId">
    <vt:lpwstr>{7bfbb346-8c5a-43d8-9ee2-8da63f2dcfff}</vt:lpwstr>
  </property>
  <property fmtid="{D5CDD505-2E9C-101B-9397-08002B2CF9AE}" pid="11" name="RecordPoint_ActiveItemMoved">
    <vt:lpwstr/>
  </property>
  <property fmtid="{D5CDD505-2E9C-101B-9397-08002B2CF9AE}" pid="12" name="RecordPoint_ActiveItemSiteId">
    <vt:lpwstr>{bed8f96d-0f75-4c3d-baed-50b4a86a653e}</vt:lpwstr>
  </property>
  <property fmtid="{D5CDD505-2E9C-101B-9397-08002B2CF9AE}" pid="13" name="RecordPoint_ActiveItemUniqueId">
    <vt:lpwstr>{8b23b6bb-8324-4b8f-a69e-967b444ac4cb}</vt:lpwstr>
  </property>
  <property fmtid="{D5CDD505-2E9C-101B-9397-08002B2CF9AE}" pid="14" name="RecordPoint_ActiveItemWebId">
    <vt:lpwstr>{43462e04-23db-4c29-b31e-bbe40d54796f}</vt:lpwstr>
  </property>
  <property fmtid="{D5CDD505-2E9C-101B-9397-08002B2CF9AE}" pid="15" name="RecordPoint_RecordFormat">
    <vt:lpwstr/>
  </property>
  <property fmtid="{D5CDD505-2E9C-101B-9397-08002B2CF9AE}" pid="16" name="RecordPoint_RecordNumberSubmitted">
    <vt:lpwstr>R0000943351</vt:lpwstr>
  </property>
  <property fmtid="{D5CDD505-2E9C-101B-9397-08002B2CF9AE}" pid="17" name="RecordPoint_SubmissionCompleted">
    <vt:lpwstr>2018-02-21T11:43:42.3084827+11:00</vt:lpwstr>
  </property>
  <property fmtid="{D5CDD505-2E9C-101B-9397-08002B2CF9AE}" pid="18" name="RecordPoint_SubmissionDate">
    <vt:lpwstr/>
  </property>
  <property fmtid="{D5CDD505-2E9C-101B-9397-08002B2CF9AE}" pid="19" name="RecordPoint_WorkflowType">
    <vt:lpwstr>ActiveSubmitStub</vt:lpwstr>
  </property>
  <property fmtid="{D5CDD505-2E9C-101B-9397-08002B2CF9AE}" pid="20" name="SourceModified">
    <vt:lpwstr>D:20240518063408</vt:lpwstr>
  </property>
</Properties>
</file>